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both"/>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en-US" w:eastAsia="zh-CN"/>
        </w:rPr>
      </w:pPr>
    </w:p>
    <w:p>
      <w:pPr>
        <w:keepNext w:val="0"/>
        <w:keepLines w:val="0"/>
        <w:pageBreakBefore w:val="0"/>
        <w:kinsoku/>
        <w:wordWrap/>
        <w:overflowPunct/>
        <w:topLinePunct w:val="0"/>
        <w:bidi w:val="0"/>
        <w:adjustRightInd/>
        <w:snapToGrid/>
        <w:spacing w:line="560" w:lineRule="exact"/>
        <w:ind w:left="0" w:leftChars="0" w:right="0" w:rightChars="0"/>
        <w:jc w:val="center"/>
        <w:textAlignment w:val="auto"/>
        <w:rPr>
          <w:rFonts w:hint="eastAsia" w:ascii="黑体" w:hAnsi="黑体" w:eastAsia="黑体" w:cs="宋体"/>
          <w:bCs/>
          <w:color w:val="auto"/>
          <w:sz w:val="44"/>
          <w:szCs w:val="44"/>
          <w:lang w:val="zh-CN"/>
        </w:rPr>
      </w:pPr>
      <w:r>
        <w:rPr>
          <w:rFonts w:hint="eastAsia" w:ascii="黑体" w:hAnsi="黑体" w:eastAsia="黑体" w:cs="宋体"/>
          <w:bCs/>
          <w:color w:val="auto"/>
          <w:sz w:val="44"/>
          <w:szCs w:val="44"/>
          <w:lang w:val="en-US" w:eastAsia="zh-CN"/>
        </w:rPr>
        <w:t>交通银行股份有限公司湖州分行</w:t>
      </w:r>
      <w:r>
        <w:rPr>
          <w:rFonts w:hint="eastAsia" w:ascii="黑体" w:hAnsi="黑体" w:eastAsia="黑体" w:cs="宋体"/>
          <w:bCs/>
          <w:color w:val="auto"/>
          <w:sz w:val="44"/>
          <w:szCs w:val="44"/>
          <w:lang w:val="zh-CN"/>
        </w:rPr>
        <w:t>2019年度环境信息披露报告</w:t>
      </w:r>
    </w:p>
    <w:p>
      <w:pPr>
        <w:keepNext w:val="0"/>
        <w:keepLines w:val="0"/>
        <w:pageBreakBefore w:val="0"/>
        <w:kinsoku/>
        <w:wordWrap/>
        <w:overflowPunct/>
        <w:topLinePunct w:val="0"/>
        <w:bidi w:val="0"/>
        <w:adjustRightInd/>
        <w:snapToGrid/>
        <w:spacing w:line="560" w:lineRule="exact"/>
        <w:ind w:left="0" w:leftChars="0" w:right="0" w:rightChars="0"/>
        <w:jc w:val="both"/>
        <w:textAlignment w:val="auto"/>
        <w:rPr>
          <w:rFonts w:hint="eastAsia" w:ascii="黑体" w:hAnsi="黑体" w:eastAsia="黑体" w:cs="宋体"/>
          <w:bCs/>
          <w:color w:val="auto"/>
          <w:sz w:val="44"/>
          <w:szCs w:val="44"/>
          <w:lang w:val="en-US" w:eastAsia="zh-CN"/>
        </w:rPr>
      </w:pPr>
    </w:p>
    <w:p>
      <w:pPr>
        <w:pStyle w:val="2"/>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r>
        <w:rPr>
          <w:rFonts w:hint="eastAsia" w:ascii="黑体" w:hAnsi="黑体" w:eastAsia="黑体" w:cs="宋体"/>
          <w:bCs/>
          <w:color w:val="auto"/>
          <w:sz w:val="44"/>
          <w:szCs w:val="44"/>
          <w:lang w:val="en-US" w:eastAsia="zh-CN"/>
        </w:rPr>
        <w:t xml:space="preserve">             2020年6月</w:t>
      </w: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p>
    <w:p>
      <w:pPr>
        <w:pStyle w:val="2"/>
        <w:ind w:left="0" w:leftChars="0" w:firstLine="0" w:firstLineChars="0"/>
        <w:rPr>
          <w:rFonts w:hint="eastAsia" w:ascii="黑体" w:hAnsi="黑体" w:eastAsia="黑体" w:cs="宋体"/>
          <w:bCs/>
          <w:color w:val="auto"/>
          <w:sz w:val="44"/>
          <w:szCs w:val="44"/>
          <w:lang w:val="en-US" w:eastAsia="zh-CN"/>
        </w:rPr>
      </w:pPr>
      <w:r>
        <w:rPr>
          <w:rFonts w:hint="eastAsia" w:ascii="黑体" w:hAnsi="黑体" w:eastAsia="黑体" w:cs="宋体"/>
          <w:bCs/>
          <w:color w:val="auto"/>
          <w:sz w:val="44"/>
          <w:szCs w:val="44"/>
          <w:lang w:val="en-US" w:eastAsia="zh-CN"/>
        </w:rPr>
        <w:t xml:space="preserve">                目录</w:t>
      </w:r>
    </w:p>
    <w:p>
      <w:pPr>
        <w:pStyle w:val="2"/>
        <w:ind w:left="0" w:leftChars="0" w:firstLine="0" w:firstLineChars="0"/>
        <w:rPr>
          <w:rFonts w:hint="eastAsia" w:ascii="黑体" w:hAnsi="黑体" w:eastAsia="黑体" w:cs="宋体"/>
          <w:bCs/>
          <w:color w:val="auto"/>
          <w:sz w:val="44"/>
          <w:szCs w:val="44"/>
          <w:lang w:val="en-US" w:eastAsia="zh-CN"/>
        </w:rPr>
      </w:pP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sz w:val="44"/>
          <w:szCs w:val="44"/>
          <w:lang w:val="en-US" w:eastAsia="zh-CN"/>
        </w:rPr>
        <w:fldChar w:fldCharType="begin"/>
      </w:r>
      <w:r>
        <w:rPr>
          <w:rFonts w:hint="eastAsia" w:ascii="黑体" w:hAnsi="黑体" w:eastAsia="黑体" w:cs="宋体"/>
          <w:bCs/>
          <w:color w:val="auto"/>
          <w:sz w:val="44"/>
          <w:szCs w:val="44"/>
          <w:lang w:val="en-US" w:eastAsia="zh-CN"/>
        </w:rPr>
        <w:instrText xml:space="preserve">TOC \o "1-3" \h \u </w:instrText>
      </w:r>
      <w:r>
        <w:rPr>
          <w:rFonts w:hint="eastAsia" w:ascii="黑体" w:hAnsi="黑体" w:eastAsia="黑体" w:cs="宋体"/>
          <w:bCs/>
          <w:color w:val="auto"/>
          <w:sz w:val="44"/>
          <w:szCs w:val="44"/>
          <w:lang w:val="en-US" w:eastAsia="zh-CN"/>
        </w:rPr>
        <w:fldChar w:fldCharType="separate"/>
      </w: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_Toc24417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关于本报告</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_Toc24417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3</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_Toc23346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.1 </w:t>
      </w:r>
      <w:r>
        <w:rPr>
          <w:rFonts w:hint="eastAsia" w:asciiTheme="minorHAnsi" w:hAnsiTheme="minorHAnsi" w:eastAsiaTheme="minorEastAsia" w:cstheme="minorBidi"/>
          <w:kern w:val="2"/>
          <w:sz w:val="20"/>
          <w:szCs w:val="20"/>
          <w:lang w:val="en-US" w:eastAsia="zh-CN" w:bidi="ar-SA"/>
        </w:rPr>
        <w:t>涵盖期间 </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3</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_Toc3031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.2 </w:t>
      </w:r>
      <w:r>
        <w:rPr>
          <w:rFonts w:hint="eastAsia" w:asciiTheme="minorHAnsi" w:hAnsiTheme="minorHAnsi" w:eastAsiaTheme="minorEastAsia" w:cstheme="minorBidi"/>
          <w:kern w:val="2"/>
          <w:sz w:val="20"/>
          <w:szCs w:val="20"/>
          <w:lang w:val="en-US" w:eastAsia="zh-CN" w:bidi="ar-SA"/>
        </w:rPr>
        <w:t>报告周期</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3</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_Toc1810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.3 </w:t>
      </w:r>
      <w:r>
        <w:rPr>
          <w:rFonts w:hint="eastAsia" w:asciiTheme="minorHAnsi" w:hAnsiTheme="minorHAnsi" w:eastAsiaTheme="minorEastAsia" w:cstheme="minorBidi"/>
          <w:kern w:val="2"/>
          <w:sz w:val="20"/>
          <w:szCs w:val="20"/>
          <w:lang w:val="en-US" w:eastAsia="zh-CN" w:bidi="ar-SA"/>
        </w:rPr>
        <w:t>报告范围</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_Toc1810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4</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_Toc2258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.4 </w:t>
      </w:r>
      <w:r>
        <w:rPr>
          <w:rFonts w:hint="eastAsia" w:asciiTheme="minorHAnsi" w:hAnsiTheme="minorHAnsi" w:eastAsiaTheme="minorEastAsia" w:cstheme="minorBidi"/>
          <w:kern w:val="2"/>
          <w:sz w:val="20"/>
          <w:szCs w:val="20"/>
          <w:lang w:val="en-US" w:eastAsia="zh-CN" w:bidi="ar-SA"/>
        </w:rPr>
        <w:t>报告数据说明</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_Toc2258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4</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_Toc6251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.5 </w:t>
      </w:r>
      <w:r>
        <w:rPr>
          <w:rFonts w:hint="eastAsia" w:asciiTheme="minorHAnsi" w:hAnsiTheme="minorHAnsi" w:eastAsiaTheme="minorEastAsia" w:cstheme="minorBidi"/>
          <w:kern w:val="2"/>
          <w:sz w:val="20"/>
          <w:szCs w:val="20"/>
          <w:lang w:val="en-US" w:eastAsia="zh-CN" w:bidi="ar-SA"/>
        </w:rPr>
        <w:t>编制依据</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_Toc6251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4</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_Toc7555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2</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年度概况</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4</w:t>
      </w:r>
      <w:r>
        <w:rPr>
          <w:rFonts w:hint="eastAsia" w:ascii="黑体" w:hAnsi="Times New Roman" w:eastAsia="黑体" w:cs="Times New Roman"/>
          <w:bCs/>
          <w:i w:val="0"/>
          <w:color w:val="auto"/>
          <w:kern w:val="0"/>
          <w:sz w:val="20"/>
          <w:szCs w:val="20"/>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_Toc23364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2</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.1 </w:t>
      </w:r>
      <w:r>
        <w:rPr>
          <w:rFonts w:hint="eastAsia" w:asciiTheme="minorHAnsi" w:hAnsiTheme="minorHAnsi" w:eastAsiaTheme="minorEastAsia" w:cstheme="minorBidi"/>
          <w:kern w:val="2"/>
          <w:sz w:val="20"/>
          <w:szCs w:val="20"/>
          <w:lang w:val="en-US" w:eastAsia="zh-CN" w:bidi="ar-SA"/>
        </w:rPr>
        <w:t>总体概况</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4</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_Toc16598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2</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en-US" w:eastAsia="zh-CN" w:bidi="ar-SA"/>
        </w:rPr>
        <w:t xml:space="preserve">.2 </w:t>
      </w:r>
      <w:r>
        <w:rPr>
          <w:rFonts w:hint="eastAsia" w:asciiTheme="minorHAnsi" w:hAnsiTheme="minorHAnsi" w:eastAsiaTheme="minorEastAsia" w:cstheme="minorBidi"/>
          <w:kern w:val="2"/>
          <w:sz w:val="20"/>
          <w:szCs w:val="20"/>
          <w:lang w:val="en-US" w:eastAsia="zh-CN" w:bidi="ar-SA"/>
        </w:rPr>
        <w:t>规划与目标</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6</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_Toc25039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3</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治理结构</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_Toc25039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7</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_Toc16201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4</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相关政策制度</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7</w:t>
      </w:r>
      <w:r>
        <w:rPr>
          <w:rFonts w:hint="eastAsia" w:ascii="黑体" w:hAnsi="Times New Roman" w:eastAsia="黑体" w:cs="Times New Roman"/>
          <w:bCs/>
          <w:i w:val="0"/>
          <w:color w:val="auto"/>
          <w:kern w:val="0"/>
          <w:sz w:val="20"/>
          <w:szCs w:val="20"/>
          <w:lang w:val="en-US" w:eastAsia="zh-CN" w:bidi="ar-SA"/>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_Toc1373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5</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环境风险、机遇分析与管理</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i w:val="0"/>
          <w:color w:val="auto"/>
          <w:kern w:val="0"/>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t>0</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_Toc30854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5</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.1 </w:t>
      </w:r>
      <w:r>
        <w:rPr>
          <w:rFonts w:hint="eastAsia" w:asciiTheme="minorHAnsi" w:hAnsiTheme="minorHAnsi" w:eastAsiaTheme="minorEastAsia" w:cstheme="minorBidi"/>
          <w:kern w:val="2"/>
          <w:sz w:val="20"/>
          <w:szCs w:val="20"/>
          <w:lang w:val="zh-TW" w:eastAsia="zh-CN" w:bidi="ar-SA"/>
        </w:rPr>
        <w:t>环境风险影响</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0</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_Toc27658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5</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.2 </w:t>
      </w:r>
      <w:r>
        <w:rPr>
          <w:rFonts w:asciiTheme="minorHAnsi" w:hAnsiTheme="minorHAnsi" w:eastAsiaTheme="minorEastAsia" w:cstheme="minorBidi"/>
          <w:kern w:val="2"/>
          <w:sz w:val="20"/>
          <w:szCs w:val="20"/>
          <w:lang w:val="zh-TW" w:eastAsia="zh-CN" w:bidi="ar-SA"/>
        </w:rPr>
        <w:t>风险管理及流程</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0</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_Toc4848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6</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经营活动对环境产生的影响</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i w:val="0"/>
          <w:color w:val="auto"/>
          <w:kern w:val="0"/>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t>1</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_Toc8345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6</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.1 </w:t>
      </w:r>
      <w:r>
        <w:rPr>
          <w:rFonts w:hint="eastAsia" w:asciiTheme="minorHAnsi" w:hAnsiTheme="minorHAnsi" w:eastAsiaTheme="minorEastAsia" w:cstheme="minorBidi"/>
          <w:kern w:val="2"/>
          <w:sz w:val="20"/>
          <w:szCs w:val="20"/>
          <w:lang w:val="zh-TW" w:eastAsia="zh-CN" w:bidi="ar-SA"/>
        </w:rPr>
        <w:t>本机构经营活动产生的环境影响</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1</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_Toc7297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6</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.2 </w:t>
      </w:r>
      <w:r>
        <w:rPr>
          <w:rFonts w:hint="eastAsia" w:asciiTheme="minorHAnsi" w:hAnsiTheme="minorHAnsi" w:eastAsiaTheme="minorEastAsia" w:cstheme="minorBidi"/>
          <w:kern w:val="2"/>
          <w:sz w:val="20"/>
          <w:szCs w:val="20"/>
          <w:lang w:val="zh-TW" w:eastAsia="zh-CN" w:bidi="ar-SA"/>
        </w:rPr>
        <w:t>经营活动环境影响的计算</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2</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_Toc30292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7</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投融资活动的环境影响</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i w:val="0"/>
          <w:color w:val="auto"/>
          <w:kern w:val="0"/>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t>3</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_Toc2983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7</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.1 </w:t>
      </w:r>
      <w:r>
        <w:rPr>
          <w:rFonts w:hint="eastAsia" w:asciiTheme="minorHAnsi" w:hAnsiTheme="minorHAnsi" w:eastAsiaTheme="minorEastAsia" w:cstheme="minorBidi"/>
          <w:kern w:val="2"/>
          <w:sz w:val="20"/>
          <w:szCs w:val="20"/>
          <w:lang w:val="zh-TW" w:eastAsia="zh-CN" w:bidi="ar-SA"/>
        </w:rPr>
        <w:t>本机构投融资所产生的环境影响</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3</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_Toc252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7</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.2 </w:t>
      </w:r>
      <w:r>
        <w:rPr>
          <w:rFonts w:hint="eastAsia" w:asciiTheme="minorHAnsi" w:hAnsiTheme="minorHAnsi" w:eastAsiaTheme="minorEastAsia" w:cstheme="minorBidi"/>
          <w:kern w:val="2"/>
          <w:sz w:val="20"/>
          <w:szCs w:val="20"/>
          <w:lang w:val="zh-TW" w:eastAsia="zh-CN" w:bidi="ar-SA"/>
        </w:rPr>
        <w:t>本机构投融资环境影响的测算与表达</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3</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_Toc26629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7</w:t>
      </w:r>
      <w:r>
        <w:rPr>
          <w:rFonts w:hint="eastAsia" w:ascii="黑体" w:hAnsi="Times New Roman" w:eastAsia="黑体" w:cs="Times New Roman"/>
          <w:bCs w:val="0"/>
          <w:i w:val="0"/>
          <w:iCs w:val="0"/>
          <w:caps w:val="0"/>
          <w:strike w:val="0"/>
          <w:dstrike w:val="0"/>
          <w:vanish w:val="0"/>
          <w:spacing w:val="0"/>
          <w:kern w:val="0"/>
          <w:position w:val="0"/>
          <w:sz w:val="20"/>
          <w:szCs w:val="20"/>
          <w:vertAlign w:val="baseline"/>
          <w:lang w:val="zh-TW" w:eastAsia="zh-CN" w:bidi="ar-SA"/>
        </w:rPr>
        <w:t xml:space="preserve">.3 </w:t>
      </w:r>
      <w:r>
        <w:rPr>
          <w:rFonts w:hint="eastAsia" w:asciiTheme="minorHAnsi" w:hAnsiTheme="minorHAnsi" w:eastAsiaTheme="minorEastAsia" w:cstheme="minorBidi"/>
          <w:kern w:val="2"/>
          <w:sz w:val="20"/>
          <w:szCs w:val="20"/>
          <w:lang w:val="zh-TW" w:eastAsia="zh-CN" w:bidi="ar-SA"/>
        </w:rPr>
        <w:t>数据梳理、校验及保护</w:t>
      </w:r>
      <w:r>
        <w:rPr>
          <w:rFonts w:asciiTheme="minorHAnsi" w:hAnsiTheme="minorHAnsi" w:eastAsiaTheme="minorEastAsia" w:cstheme="minorBidi"/>
          <w:kern w:val="2"/>
          <w:sz w:val="20"/>
          <w:szCs w:val="20"/>
          <w:lang w:val="en-US" w:eastAsia="zh-CN" w:bidi="ar-SA"/>
        </w:rPr>
        <w:tab/>
      </w:r>
      <w:r>
        <w:rPr>
          <w:rFonts w:hint="eastAsia" w:cstheme="minorBidi"/>
          <w:kern w:val="2"/>
          <w:sz w:val="20"/>
          <w:szCs w:val="20"/>
          <w:lang w:val="en-US" w:eastAsia="zh-CN" w:bidi="ar-SA"/>
        </w:rPr>
        <w:t>1</w:t>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zh-TW" w:eastAsia="zh-CN" w:bidi="ar-SA"/>
        </w:rPr>
        <w:fldChar w:fldCharType="end"/>
      </w:r>
      <w:r>
        <w:rPr>
          <w:rFonts w:hint="eastAsia" w:ascii="黑体" w:hAnsi="Times New Roman" w:eastAsia="黑体" w:cs="Times New Roman"/>
          <w:bCs w:val="0"/>
          <w:i w:val="0"/>
          <w:iCs w:val="0"/>
          <w:caps w:val="0"/>
          <w:strike w:val="0"/>
          <w:dstrike w:val="0"/>
          <w:vanish w:val="0"/>
          <w:color w:val="auto"/>
          <w:spacing w:val="0"/>
          <w:kern w:val="0"/>
          <w:position w:val="0"/>
          <w:sz w:val="20"/>
          <w:szCs w:val="20"/>
          <w:u w:val="none"/>
          <w:vertAlign w:val="baseline"/>
          <w:lang w:val="en-US" w:eastAsia="zh-CN" w:bidi="ar-SA"/>
        </w:rPr>
        <w:t>4</w:t>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asciiTheme="minorHAnsi" w:hAnsiTheme="minorHAnsi" w:eastAsiaTheme="minorEastAsia" w:cstheme="minorBidi"/>
          <w:kern w:val="2"/>
          <w:sz w:val="20"/>
          <w:szCs w:val="20"/>
          <w:lang w:val="en-US" w:eastAsia="zh-CN" w:bidi="ar-SA"/>
        </w:rPr>
      </w:pPr>
      <w:r>
        <w:rPr>
          <w:rFonts w:hint="eastAsia" w:ascii="黑体" w:hAnsi="黑体" w:eastAsia="黑体" w:cs="宋体"/>
          <w:bCs/>
          <w:color w:val="auto"/>
          <w:kern w:val="2"/>
          <w:sz w:val="20"/>
          <w:szCs w:val="20"/>
          <w:lang w:val="en-US" w:eastAsia="zh-CN" w:bidi="ar-SA"/>
        </w:rPr>
        <w:fldChar w:fldCharType="begin"/>
      </w:r>
      <w:r>
        <w:rPr>
          <w:rFonts w:hint="eastAsia" w:ascii="黑体" w:hAnsi="黑体" w:eastAsia="黑体" w:cs="宋体"/>
          <w:bCs/>
          <w:color w:val="auto"/>
          <w:kern w:val="2"/>
          <w:sz w:val="20"/>
          <w:szCs w:val="20"/>
          <w:lang w:val="en-US" w:eastAsia="zh-CN" w:bidi="ar-SA"/>
        </w:rPr>
        <w:instrText xml:space="preserve"> HYPERLINK \l _Toc26878 </w:instrText>
      </w:r>
      <w:r>
        <w:rPr>
          <w:rFonts w:hint="eastAsia" w:ascii="黑体" w:hAnsi="黑体" w:eastAsia="黑体" w:cs="宋体"/>
          <w:bCs/>
          <w:color w:val="auto"/>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8</w:t>
      </w:r>
      <w:r>
        <w:rPr>
          <w:rFonts w:hint="eastAsia" w:ascii="黑体" w:hAnsi="Times New Roman" w:eastAsia="黑体" w:cs="Times New Roman"/>
          <w:i w:val="0"/>
          <w:kern w:val="0"/>
          <w:sz w:val="20"/>
          <w:szCs w:val="20"/>
          <w:lang w:val="en-US" w:eastAsia="zh-CN" w:bidi="ar-SA"/>
        </w:rPr>
        <w:t xml:space="preserve"> </w:t>
      </w:r>
      <w:r>
        <w:rPr>
          <w:rFonts w:hint="eastAsia" w:asciiTheme="minorHAnsi" w:hAnsiTheme="minorHAnsi" w:eastAsiaTheme="minorEastAsia" w:cstheme="minorBidi"/>
          <w:kern w:val="2"/>
          <w:sz w:val="20"/>
          <w:szCs w:val="20"/>
          <w:lang w:val="en-US" w:eastAsia="zh-CN" w:bidi="ar-SA"/>
        </w:rPr>
        <w:t>绿色金融创新及研究成果</w:t>
      </w:r>
      <w:r>
        <w:rPr>
          <w:rFonts w:asciiTheme="minorHAnsi" w:hAnsiTheme="minorHAnsi" w:eastAsiaTheme="minorEastAsia" w:cstheme="minorBidi"/>
          <w:kern w:val="2"/>
          <w:sz w:val="20"/>
          <w:szCs w:val="20"/>
          <w:lang w:val="en-US" w:eastAsia="zh-CN" w:bidi="ar-SA"/>
        </w:rPr>
        <w:tab/>
      </w:r>
      <w:r>
        <w:rPr>
          <w:rFonts w:asciiTheme="minorHAnsi" w:hAnsiTheme="minorHAnsi" w:eastAsiaTheme="minorEastAsia" w:cstheme="minorBidi"/>
          <w:kern w:val="2"/>
          <w:sz w:val="20"/>
          <w:szCs w:val="20"/>
          <w:lang w:val="en-US" w:eastAsia="zh-CN" w:bidi="ar-SA"/>
        </w:rPr>
        <w:fldChar w:fldCharType="begin"/>
      </w:r>
      <w:r>
        <w:rPr>
          <w:rFonts w:asciiTheme="minorHAnsi" w:hAnsiTheme="minorHAnsi" w:eastAsiaTheme="minorEastAsia" w:cstheme="minorBidi"/>
          <w:kern w:val="2"/>
          <w:sz w:val="20"/>
          <w:szCs w:val="20"/>
          <w:lang w:val="en-US" w:eastAsia="zh-CN" w:bidi="ar-SA"/>
        </w:rPr>
        <w:instrText xml:space="preserve"> PAGEREF _Toc26878 </w:instrText>
      </w:r>
      <w:r>
        <w:rPr>
          <w:rFonts w:asciiTheme="minorHAnsi" w:hAnsiTheme="minorHAnsi" w:eastAsiaTheme="minorEastAsia" w:cstheme="minorBidi"/>
          <w:kern w:val="2"/>
          <w:sz w:val="20"/>
          <w:szCs w:val="20"/>
          <w:lang w:val="en-US" w:eastAsia="zh-CN" w:bidi="ar-SA"/>
        </w:rPr>
        <w:fldChar w:fldCharType="separate"/>
      </w:r>
      <w:r>
        <w:rPr>
          <w:rFonts w:asciiTheme="minorHAnsi" w:hAnsiTheme="minorHAnsi" w:eastAsiaTheme="minorEastAsia" w:cstheme="minorBidi"/>
          <w:kern w:val="2"/>
          <w:sz w:val="20"/>
          <w:szCs w:val="20"/>
          <w:lang w:val="en-US" w:eastAsia="zh-CN" w:bidi="ar-SA"/>
        </w:rPr>
        <w:t>15</w:t>
      </w:r>
      <w:r>
        <w:rPr>
          <w:rFonts w:asciiTheme="minorHAnsi" w:hAnsiTheme="minorHAnsi" w:eastAsiaTheme="minorEastAsia" w:cstheme="minorBidi"/>
          <w:kern w:val="2"/>
          <w:sz w:val="20"/>
          <w:szCs w:val="20"/>
          <w:lang w:val="en-US" w:eastAsia="zh-CN" w:bidi="ar-SA"/>
        </w:rPr>
        <w:fldChar w:fldCharType="end"/>
      </w:r>
      <w:r>
        <w:rPr>
          <w:rFonts w:hint="eastAsia" w:ascii="黑体" w:hAnsi="Times New Roman" w:eastAsia="黑体" w:cs="Times New Roman"/>
          <w:bCs/>
          <w:i w:val="0"/>
          <w:color w:val="auto"/>
          <w:kern w:val="0"/>
          <w:sz w:val="20"/>
          <w:szCs w:val="20"/>
          <w:lang w:val="en-US" w:eastAsia="zh-CN" w:bidi="ar-SA"/>
        </w:rPr>
        <w:fldChar w:fldCharType="end"/>
      </w:r>
    </w:p>
    <w:p>
      <w:pPr>
        <w:pStyle w:val="9"/>
        <w:tabs>
          <w:tab w:val="right" w:leader="dot" w:pos="8306"/>
        </w:tabs>
        <w:rPr>
          <w:rFonts w:asciiTheme="minorHAnsi" w:hAnsiTheme="minorHAnsi" w:eastAsiaTheme="minorEastAsia" w:cstheme="minorBidi"/>
          <w:kern w:val="2"/>
          <w:szCs w:val="24"/>
          <w:lang w:val="en-US" w:eastAsia="zh-CN" w:bidi="ar-SA"/>
        </w:rPr>
      </w:pPr>
    </w:p>
    <w:p>
      <w:pPr>
        <w:pStyle w:val="2"/>
        <w:ind w:left="0" w:leftChars="0" w:firstLine="0" w:firstLineChars="0"/>
        <w:outlineLvl w:val="0"/>
        <w:rPr>
          <w:rFonts w:hint="eastAsia" w:ascii="黑体" w:hAnsi="黑体" w:eastAsia="黑体" w:cs="宋体"/>
          <w:bCs/>
          <w:color w:val="auto"/>
          <w:kern w:val="2"/>
          <w:szCs w:val="44"/>
          <w:lang w:val="en-US" w:eastAsia="zh-CN" w:bidi="ar-SA"/>
        </w:rPr>
      </w:pPr>
      <w:r>
        <w:rPr>
          <w:rFonts w:hint="eastAsia" w:ascii="黑体" w:hAnsi="黑体" w:eastAsia="黑体" w:cs="宋体"/>
          <w:bCs/>
          <w:color w:val="auto"/>
          <w:kern w:val="2"/>
          <w:szCs w:val="44"/>
          <w:lang w:val="en-US" w:eastAsia="zh-CN" w:bidi="ar-SA"/>
        </w:rPr>
        <w:fldChar w:fldCharType="end"/>
      </w:r>
    </w:p>
    <w:p>
      <w:pPr>
        <w:pStyle w:val="2"/>
        <w:ind w:left="0" w:leftChars="0" w:firstLine="0" w:firstLineChars="0"/>
        <w:outlineLvl w:val="0"/>
        <w:rPr>
          <w:rFonts w:hint="eastAsia" w:ascii="黑体" w:hAnsi="黑体" w:eastAsia="黑体" w:cs="宋体"/>
          <w:bCs/>
          <w:color w:val="auto"/>
          <w:kern w:val="2"/>
          <w:szCs w:val="44"/>
          <w:lang w:val="en-US" w:eastAsia="zh-CN" w:bidi="ar-SA"/>
        </w:rPr>
      </w:pPr>
    </w:p>
    <w:p>
      <w:pPr>
        <w:pStyle w:val="2"/>
        <w:ind w:left="0" w:leftChars="0" w:firstLine="0" w:firstLineChars="0"/>
        <w:outlineLvl w:val="0"/>
        <w:rPr>
          <w:rFonts w:hint="eastAsia" w:ascii="黑体" w:hAnsi="黑体" w:eastAsia="黑体" w:cs="宋体"/>
          <w:bCs/>
          <w:color w:val="auto"/>
          <w:kern w:val="2"/>
          <w:szCs w:val="44"/>
          <w:lang w:val="en-US" w:eastAsia="zh-CN" w:bidi="ar-SA"/>
        </w:rPr>
      </w:pPr>
    </w:p>
    <w:p>
      <w:pPr>
        <w:pStyle w:val="2"/>
        <w:ind w:left="0" w:leftChars="0" w:firstLine="0" w:firstLineChars="0"/>
        <w:outlineLvl w:val="0"/>
        <w:rPr>
          <w:rFonts w:hint="eastAsia" w:ascii="黑体" w:hAnsi="黑体" w:eastAsia="黑体" w:cs="宋体"/>
          <w:bCs/>
          <w:color w:val="auto"/>
          <w:kern w:val="2"/>
          <w:szCs w:val="44"/>
          <w:lang w:val="en-US" w:eastAsia="zh-CN" w:bidi="ar-SA"/>
        </w:rPr>
      </w:pPr>
    </w:p>
    <w:p>
      <w:pPr>
        <w:pStyle w:val="27"/>
        <w:rPr>
          <w:rFonts w:hint="eastAsia"/>
          <w:sz w:val="32"/>
          <w:szCs w:val="32"/>
          <w:lang w:val="en-US" w:eastAsia="zh-CN"/>
        </w:rPr>
      </w:pPr>
      <w:bookmarkStart w:id="0" w:name="_Toc38615347"/>
      <w:bookmarkStart w:id="1" w:name="_Toc38615310"/>
      <w:bookmarkStart w:id="2" w:name="_Toc38615455"/>
      <w:bookmarkStart w:id="3" w:name="_Toc39764160"/>
      <w:bookmarkStart w:id="4" w:name="_Toc24417"/>
      <w:r>
        <w:rPr>
          <w:rFonts w:hint="eastAsia"/>
          <w:sz w:val="32"/>
          <w:szCs w:val="32"/>
          <w:lang w:val="en-US" w:eastAsia="zh-CN"/>
        </w:rPr>
        <w:t>关于本报告</w:t>
      </w:r>
      <w:bookmarkEnd w:id="0"/>
      <w:bookmarkEnd w:id="1"/>
      <w:bookmarkEnd w:id="2"/>
      <w:bookmarkEnd w:id="3"/>
      <w:bookmarkEnd w:id="4"/>
    </w:p>
    <w:p>
      <w:pPr>
        <w:pStyle w:val="27"/>
        <w:numPr>
          <w:numId w:val="0"/>
        </w:numPr>
        <w:tabs>
          <w:tab w:val="left" w:pos="720"/>
        </w:tabs>
        <w:spacing w:before="156" w:beforeLines="50" w:after="156" w:afterLines="50" w:line="400" w:lineRule="exact"/>
        <w:outlineLvl w:val="0"/>
        <w:rPr>
          <w:rFonts w:hint="eastAsia" w:ascii="方正仿宋_GBK" w:hAnsi="方正仿宋_GBK" w:eastAsia="方正仿宋_GBK" w:cs="方正仿宋_GBK"/>
          <w:kern w:val="2"/>
          <w:sz w:val="32"/>
          <w:szCs w:val="32"/>
          <w:lang w:val="en-US" w:eastAsia="zh-CN" w:bidi="ar-SA"/>
        </w:rPr>
      </w:pPr>
      <w:bookmarkStart w:id="5" w:name="_Toc14170"/>
      <w:r>
        <w:rPr>
          <w:rFonts w:hint="eastAsia" w:ascii="方正仿宋_GBK" w:hAnsi="方正仿宋_GBK" w:eastAsia="方正仿宋_GBK" w:cs="方正仿宋_GBK"/>
          <w:kern w:val="2"/>
          <w:sz w:val="32"/>
          <w:szCs w:val="32"/>
          <w:lang w:val="en-US" w:eastAsia="zh-CN" w:bidi="ar-SA"/>
        </w:rPr>
        <w:t>报告简介</w:t>
      </w:r>
      <w:bookmarkEnd w:id="5"/>
      <w:bookmarkStart w:id="6" w:name="_Toc38615169"/>
      <w:bookmarkStart w:id="7" w:name="_Toc38615349"/>
      <w:bookmarkStart w:id="8" w:name="_Toc38615312"/>
      <w:bookmarkStart w:id="9" w:name="_Toc38615488"/>
      <w:bookmarkStart w:id="10" w:name="_Toc3861545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sz w:val="24"/>
          <w:lang w:val="en-US" w:eastAsia="zh-CN"/>
        </w:rPr>
      </w:pPr>
      <w:r>
        <w:rPr>
          <w:rFonts w:hint="eastAsia" w:ascii="方正仿宋_GBK" w:hAnsi="方正仿宋_GBK" w:eastAsia="方正仿宋_GBK" w:cs="方正仿宋_GBK"/>
          <w:kern w:val="2"/>
          <w:sz w:val="32"/>
          <w:szCs w:val="32"/>
          <w:lang w:val="en-US" w:eastAsia="zh-CN" w:bidi="ar-SA"/>
        </w:rPr>
        <w:t>交通银行股份有限公司湖州分行是中央级金融企业交通银行在湖州</w:t>
      </w:r>
      <w:bookmarkStart w:id="55" w:name="_GoBack"/>
      <w:bookmarkEnd w:id="55"/>
      <w:r>
        <w:rPr>
          <w:rFonts w:hint="eastAsia" w:ascii="方正仿宋_GBK" w:hAnsi="方正仿宋_GBK" w:eastAsia="方正仿宋_GBK" w:cs="方正仿宋_GBK"/>
          <w:kern w:val="2"/>
          <w:sz w:val="32"/>
          <w:szCs w:val="32"/>
          <w:lang w:val="en-US" w:eastAsia="zh-CN" w:bidi="ar-SA"/>
        </w:rPr>
        <w:t>市一级唯一分支机构，自1994年成立以来，始终秉承“一个交行、一个客户”的经营理念和“拼搏进取、责任立业、创新超越”的企业精神，致力于“建设中国最佳财富管理银行”。发展至今，已拥有以“沃德财富”、“蕴通财富”、“领汇财富”、“E动交行”为代表的一批品牌产品，形成了产品覆盖全面，科技手段先进的业务体系，通过传统网点“一对一”服务和全方位的现代化电子服务渠道相结合，为客户在公司金融、私人金融、国际金融和中间业务等领域提供全面的专业化服务。截止2019年末，分行内设8个管理部门，下辖12个营业网点，其中4家普惠网点。本报告旨在披露交通银行股份有限公司湖州分行2019年度绿色金融发展概况、规划与目标、治理结构、政策制度、环境风险管理及流程、绿色金融创新案例、自身运营及投融资活动对环境产生的影响等相关信息，不断强化责任意识，提高透明度和信誉，增强公众知情权，进一步促进监管部门、各利益相关方与本行进行充分的沟通与了解。</w:t>
      </w:r>
      <w:bookmarkEnd w:id="6"/>
      <w:bookmarkEnd w:id="7"/>
      <w:bookmarkEnd w:id="8"/>
      <w:bookmarkEnd w:id="9"/>
      <w:bookmarkEnd w:id="10"/>
    </w:p>
    <w:p>
      <w:pPr>
        <w:pStyle w:val="2"/>
        <w:rPr>
          <w:rFonts w:hint="eastAsia" w:ascii="宋体" w:hAnsi="宋体"/>
          <w:sz w:val="24"/>
          <w:lang w:val="en-US" w:eastAsia="zh-CN"/>
        </w:rPr>
      </w:pPr>
    </w:p>
    <w:p>
      <w:pPr>
        <w:pStyle w:val="25"/>
        <w:rPr>
          <w:rFonts w:hint="eastAsia"/>
          <w:sz w:val="32"/>
          <w:szCs w:val="32"/>
          <w:lang w:val="en-US" w:eastAsia="zh-CN"/>
        </w:rPr>
      </w:pPr>
      <w:bookmarkStart w:id="11" w:name="_Toc39764161"/>
      <w:bookmarkStart w:id="12" w:name="_Toc38615458"/>
      <w:bookmarkStart w:id="13" w:name="_Toc38615350"/>
      <w:bookmarkStart w:id="14" w:name="_Toc38615313"/>
      <w:bookmarkStart w:id="15" w:name="_Toc23346"/>
      <w:r>
        <w:rPr>
          <w:rFonts w:hint="eastAsia"/>
          <w:sz w:val="28"/>
          <w:szCs w:val="28"/>
          <w:lang w:val="en-US" w:eastAsia="zh-CN"/>
        </w:rPr>
        <w:t>涵盖期间</w:t>
      </w:r>
      <w:bookmarkEnd w:id="11"/>
      <w:bookmarkEnd w:id="12"/>
      <w:bookmarkEnd w:id="13"/>
      <w:bookmarkEnd w:id="14"/>
      <w:r>
        <w:rPr>
          <w:rFonts w:hint="eastAsia"/>
          <w:sz w:val="32"/>
          <w:szCs w:val="32"/>
          <w:lang w:val="en-US" w:eastAsia="zh-CN"/>
        </w:rPr>
        <w:t> </w:t>
      </w:r>
      <w:bookmarkEnd w:id="15"/>
    </w:p>
    <w:p>
      <w:pPr>
        <w:pStyle w:val="21"/>
        <w:spacing w:before="156" w:beforeLines="50" w:after="156" w:afterLines="50" w:line="400" w:lineRule="exact"/>
        <w:ind w:left="0" w:leftChars="0" w:firstLine="0" w:firstLineChars="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本报告涵盖期限为2019年1月1日至2019年12月31日。</w:t>
      </w:r>
    </w:p>
    <w:p>
      <w:pPr>
        <w:pStyle w:val="25"/>
        <w:rPr>
          <w:rFonts w:hint="eastAsia"/>
          <w:sz w:val="28"/>
          <w:szCs w:val="28"/>
          <w:lang w:val="en-US" w:eastAsia="zh-CN"/>
        </w:rPr>
      </w:pPr>
      <w:bookmarkStart w:id="16" w:name="_Toc38615459"/>
      <w:bookmarkStart w:id="17" w:name="_Toc38615351"/>
      <w:bookmarkStart w:id="18" w:name="_Toc39764162"/>
      <w:bookmarkStart w:id="19" w:name="_Toc38615314"/>
      <w:bookmarkStart w:id="20" w:name="_Toc3031"/>
      <w:r>
        <w:rPr>
          <w:rFonts w:hint="eastAsia"/>
          <w:sz w:val="28"/>
          <w:szCs w:val="28"/>
          <w:lang w:val="en-US" w:eastAsia="zh-CN"/>
        </w:rPr>
        <w:t>报告周期</w:t>
      </w:r>
      <w:bookmarkEnd w:id="16"/>
      <w:bookmarkEnd w:id="17"/>
      <w:bookmarkEnd w:id="18"/>
      <w:bookmarkEnd w:id="19"/>
      <w:bookmarkEnd w:id="20"/>
    </w:p>
    <w:p>
      <w:pPr>
        <w:pStyle w:val="21"/>
        <w:spacing w:before="156" w:beforeLines="50" w:after="156" w:afterLines="50" w:line="400" w:lineRule="exact"/>
        <w:ind w:left="0" w:leftChars="0" w:firstLine="0" w:firstLineChars="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本报告为年度报告。</w:t>
      </w:r>
    </w:p>
    <w:p>
      <w:pPr>
        <w:pStyle w:val="25"/>
        <w:rPr>
          <w:rFonts w:hint="eastAsia"/>
          <w:sz w:val="32"/>
          <w:szCs w:val="32"/>
          <w:lang w:val="en-US" w:eastAsia="zh-CN"/>
        </w:rPr>
      </w:pPr>
      <w:bookmarkStart w:id="21" w:name="_Toc38615352"/>
      <w:bookmarkStart w:id="22" w:name="_Toc39764163"/>
      <w:bookmarkStart w:id="23" w:name="_Toc38615460"/>
      <w:bookmarkStart w:id="24" w:name="_Toc38615315"/>
      <w:bookmarkStart w:id="25" w:name="_Toc1810"/>
      <w:r>
        <w:rPr>
          <w:rFonts w:hint="eastAsia"/>
          <w:sz w:val="28"/>
          <w:szCs w:val="28"/>
          <w:lang w:val="en-US" w:eastAsia="zh-CN"/>
        </w:rPr>
        <w:t>报告范围</w:t>
      </w:r>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本报告的披露范围包含交通银行股份有限公司湖州分行及辖内分支机构。</w:t>
      </w:r>
    </w:p>
    <w:p>
      <w:pPr>
        <w:pStyle w:val="25"/>
        <w:rPr>
          <w:rFonts w:hint="eastAsia"/>
          <w:sz w:val="32"/>
          <w:szCs w:val="32"/>
          <w:lang w:val="en-US" w:eastAsia="zh-CN"/>
        </w:rPr>
      </w:pPr>
      <w:bookmarkStart w:id="26" w:name="_Toc39764164"/>
      <w:bookmarkStart w:id="27" w:name="_Toc38615461"/>
      <w:bookmarkStart w:id="28" w:name="_Toc38615353"/>
      <w:bookmarkStart w:id="29" w:name="_Toc38615316"/>
      <w:bookmarkStart w:id="30" w:name="_Toc2258"/>
      <w:r>
        <w:rPr>
          <w:rFonts w:hint="eastAsia"/>
          <w:sz w:val="28"/>
          <w:szCs w:val="28"/>
          <w:lang w:val="en-US" w:eastAsia="zh-CN"/>
        </w:rPr>
        <w:t>报告数据说明</w:t>
      </w:r>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报告中的财务数据以2019年为主，部分包括以前年度数据，主要来自分行内部文件和相关统计资料。</w:t>
      </w:r>
    </w:p>
    <w:p>
      <w:pPr>
        <w:pStyle w:val="25"/>
        <w:rPr>
          <w:rFonts w:hint="eastAsia"/>
          <w:sz w:val="32"/>
          <w:szCs w:val="32"/>
          <w:lang w:val="en-US" w:eastAsia="zh-CN"/>
        </w:rPr>
      </w:pPr>
      <w:bookmarkStart w:id="31" w:name="_Toc39764165"/>
      <w:bookmarkStart w:id="32" w:name="_Toc38615462"/>
      <w:bookmarkStart w:id="33" w:name="_Toc38615317"/>
      <w:bookmarkStart w:id="34" w:name="_Toc38615354"/>
      <w:bookmarkStart w:id="35" w:name="_Toc6251"/>
      <w:r>
        <w:rPr>
          <w:rFonts w:hint="eastAsia"/>
          <w:sz w:val="28"/>
          <w:szCs w:val="28"/>
          <w:lang w:val="en-US" w:eastAsia="zh-CN"/>
        </w:rPr>
        <w:t>编制依据</w:t>
      </w:r>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宋体"/>
          <w:bCs/>
          <w:color w:val="auto"/>
          <w:sz w:val="44"/>
          <w:szCs w:val="44"/>
          <w:lang w:val="en-US" w:eastAsia="zh-CN"/>
        </w:rPr>
      </w:pPr>
      <w:r>
        <w:rPr>
          <w:rFonts w:hint="eastAsia" w:ascii="方正仿宋_GBK" w:hAnsi="方正仿宋_GBK" w:eastAsia="方正仿宋_GBK" w:cs="方正仿宋_GBK"/>
          <w:kern w:val="2"/>
          <w:sz w:val="32"/>
          <w:szCs w:val="32"/>
          <w:lang w:val="en-US" w:eastAsia="zh-CN" w:bidi="ar-SA"/>
        </w:rPr>
        <w:t>本报告内容遵循中国银保监会湖州分局发布的《湖州市银行业金融机构环境信息披露框架（2020版）》及相关要求。</w:t>
      </w:r>
    </w:p>
    <w:p>
      <w:pPr>
        <w:pStyle w:val="27"/>
        <w:rPr>
          <w:rFonts w:hint="eastAsia" w:ascii="方正黑体_GBK" w:hAnsi="方正黑体_GBK" w:eastAsia="方正黑体_GBK" w:cs="方正黑体_GBK"/>
          <w:kern w:val="2"/>
          <w:sz w:val="32"/>
          <w:szCs w:val="32"/>
          <w:lang w:val="en-US" w:eastAsia="zh-CN" w:bidi="ar-SA"/>
        </w:rPr>
      </w:pPr>
      <w:bookmarkStart w:id="36" w:name="_Toc7555"/>
      <w:r>
        <w:rPr>
          <w:rFonts w:hint="eastAsia"/>
          <w:sz w:val="32"/>
          <w:szCs w:val="32"/>
          <w:lang w:val="en-US" w:eastAsia="zh-CN"/>
        </w:rPr>
        <w:t>年度概况</w:t>
      </w:r>
      <w:bookmarkEnd w:id="36"/>
    </w:p>
    <w:p>
      <w:pPr>
        <w:pStyle w:val="25"/>
        <w:rPr>
          <w:rFonts w:hint="eastAsia"/>
          <w:sz w:val="32"/>
          <w:szCs w:val="32"/>
          <w:lang w:val="en-US" w:eastAsia="zh-CN"/>
        </w:rPr>
      </w:pPr>
      <w:bookmarkStart w:id="37" w:name="_Toc23364"/>
      <w:r>
        <w:rPr>
          <w:rFonts w:hint="eastAsia"/>
          <w:sz w:val="28"/>
          <w:szCs w:val="28"/>
          <w:lang w:val="en-US" w:eastAsia="zh-CN"/>
        </w:rPr>
        <w:t>总体概况</w:t>
      </w:r>
      <w:bookmarkEnd w:id="3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2019年，分行持续探索建立区域性绿色金融服务体系、加快经济绿色转型升级，做好绿色金融相关工作。在上年工作的基础上，进一步落实完善绿色信贷监管要求，提升绿色信贷规模，促进绿色金融服务创新。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是加大绿色信贷投放。分行绿色信贷主要投向工业节能、五水共治、绿色建筑等领域。截止2019年末，银保监口径绿色信贷余额34.71亿余元，占全部贷款26%以上，较年初增加12亿余元，增速超过55%。在发展绿色信贷的同时，助力营造绿色金融环境，防范金融风险，截止2019年末，分行不良率较年初下降0.91个百分点，绿色信贷不良率为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是获批绿色信贷专项授权。2019年，分行依托修订后的湖州市绿色企业认定评价标准成功获批绿色信贷专项授权，即在“绿贷通”平台（目前绿色企业项目评定评价系统已移至“绿信通”平台）中绿色企业认定评价结果为深绿或中绿的企业，分行享有首笔业务专项融资授权2000万元（担保方式非信用），为省交行系统内唯一获得此项专项授权的辖属行。</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是深化绿色服务平台运用，推广绿色创新产品业务。2019年，分行通过“绿信通”平台系统对企业项目进行绿色初评合计41户（含企业35户、项目6户），列湖州市34家金融机构第三。“绿贷通”关注企业数量完成率135.22%，受理企业数量完成率153%，受理率98.39%，在全市35家参与银行中跻身4家标兵单位之列。积极推进绿色金融产品业务的开展，截至年末，快易贴余额3740万元、快易付余额600万元、快捷抵押贷余额3.49亿元、优贷通余额600万元、“线上税融通”余额567万元、“线上抵押贷”余额2822万元。当年，分行与人保财险签署合作协议，进一步推进“绿贷险”项目制的开展；与湖州市正策融资担保有限公司正式签署协议，开展银担合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是强化绿色支付环境建设。分行积极做好非税电子化收缴服务工作，业务已覆盖学校学费收缴、公安出入境办证、派出所罚没款、交警罚没款等领域，全年新增执收单位25家。以“云闪付”一元购等活动为抓手，积极推广手机银行、“买单吧”APP,截止年末，分行手机银行注册用户261418户，较年初新增31922户。分行绑卡操作一元购合计14899笔，总量位居全市银行业第二。我行电子银行替代率95.87%，较年初增加7.61个百分点。</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黑体" w:hAnsi="黑体" w:eastAsia="黑体" w:cs="Times New Roman"/>
          <w:color w:val="auto"/>
          <w:kern w:val="2"/>
          <w:sz w:val="32"/>
          <w:szCs w:val="32"/>
          <w:u w:val="none" w:color="000000"/>
          <w:lang w:val="en-US" w:eastAsia="zh-CN" w:bidi="ar-SA"/>
        </w:rPr>
      </w:pPr>
      <w:r>
        <w:rPr>
          <w:rFonts w:hint="eastAsia" w:ascii="方正仿宋_GBK" w:hAnsi="方正仿宋_GBK" w:eastAsia="方正仿宋_GBK" w:cs="方正仿宋_GBK"/>
          <w:kern w:val="2"/>
          <w:sz w:val="32"/>
          <w:szCs w:val="32"/>
          <w:lang w:val="en-US" w:eastAsia="zh-CN" w:bidi="ar-SA"/>
        </w:rPr>
        <w:t xml:space="preserve">    五是强化绿色支付环境建设。积极做好非税电子化收缴服务工作，作为财政非税收入支付宝渠道唯一收款行，目前业务已覆盖学校学费收缴、公安出入境办证、派出所罚没款、交警罚没款等领域，全年新增执收单位25家。以“云闪付”一元购等活动为抓手，积极推广手机银行、“买单吧”APP,截止2019年末，分行手机银行注册用户261418户，较年初新增31922户。分行绑卡操作一元购合计14899笔，总量位居全市银行业第二。我行电子银行替代率95.87%，较年初增加7.61个百分点。</w:t>
      </w:r>
    </w:p>
    <w:p>
      <w:pPr>
        <w:pStyle w:val="25"/>
        <w:rPr>
          <w:rFonts w:hint="eastAsia"/>
          <w:lang w:val="en-US" w:eastAsia="zh-CN"/>
        </w:rPr>
      </w:pPr>
      <w:bookmarkStart w:id="38" w:name="_Toc16598"/>
      <w:r>
        <w:rPr>
          <w:rFonts w:hint="eastAsia"/>
          <w:sz w:val="28"/>
          <w:szCs w:val="28"/>
          <w:lang w:val="en-US" w:eastAsia="zh-CN"/>
        </w:rPr>
        <w:t>规划与目标</w:t>
      </w:r>
      <w:bookmarkEnd w:id="38"/>
    </w:p>
    <w:p>
      <w:pPr>
        <w:keepNext w:val="0"/>
        <w:keepLines w:val="0"/>
        <w:pageBreakBefore w:val="0"/>
        <w:kinsoku/>
        <w:wordWrap/>
        <w:overflowPunct/>
        <w:topLinePunct w:val="0"/>
        <w:bidi w:val="0"/>
        <w:adjustRightInd/>
        <w:snapToGrid/>
        <w:spacing w:beforeLines="0" w:afterLines="0" w:line="560" w:lineRule="exact"/>
        <w:ind w:left="0" w:leftChars="0" w:right="0" w:rightChars="0" w:firstLine="64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2020 年为习总书记“两山”理念提出的十五周年，也是“十三五”规划的收官之年。分行将坚持绿色导向、科学发展，完善绿色金融服务体系，在推动湖州市“全国绿色金融改革创新试验区”建设过程中发挥更为积极的作用。2020年主要工作目标如下：</w:t>
      </w:r>
    </w:p>
    <w:p>
      <w:pPr>
        <w:keepNext w:val="0"/>
        <w:keepLines w:val="0"/>
        <w:pageBreakBefore w:val="0"/>
        <w:kinsoku/>
        <w:wordWrap/>
        <w:overflowPunct/>
        <w:topLinePunct w:val="0"/>
        <w:bidi w:val="0"/>
        <w:adjustRightInd/>
        <w:snapToGrid/>
        <w:spacing w:beforeLines="0" w:afterLines="0" w:line="560" w:lineRule="exact"/>
        <w:ind w:left="0" w:leftChars="0" w:right="0" w:rightChars="0" w:firstLine="640"/>
        <w:jc w:val="both"/>
        <w:textAlignment w:val="auto"/>
        <w:rPr>
          <w:rFonts w:hint="eastAsia" w:ascii="黑体" w:hAnsi="黑体" w:eastAsia="黑体" w:cs="Times New Roman"/>
          <w:color w:val="auto"/>
          <w:kern w:val="2"/>
          <w:sz w:val="32"/>
          <w:szCs w:val="32"/>
          <w:u w:val="none" w:color="000000"/>
          <w:lang w:val="en-US" w:eastAsia="zh-CN" w:bidi="ar-SA"/>
        </w:rPr>
      </w:pPr>
      <w:r>
        <w:rPr>
          <w:rFonts w:hint="eastAsia" w:ascii="方正仿宋_GBK" w:hAnsi="方正仿宋_GBK" w:eastAsia="方正仿宋_GBK" w:cs="方正仿宋_GBK"/>
          <w:kern w:val="2"/>
          <w:sz w:val="32"/>
          <w:szCs w:val="32"/>
          <w:lang w:val="en-US" w:eastAsia="zh-CN" w:bidi="ar-SA"/>
        </w:rPr>
        <w:t>一是提升绿色金融规模，加大绿色信贷支持力度，促进绿色金融规模快速增长，2020 年绿色信贷余额占比保持25%以上。二是深化金融服务平台运用，依托“绿信通”平台绿色评级结果，强化分行绿色信贷专项授权运用；依托“绿贷通”等金融服务平台，提升普惠业务服务能力。三是创新绿色金融产品，加大现有绿色金融产品推广力度，依托集团金融优势，探索契合长三角一体化发展需求的绿色金融产品。四是深入推动绿色经营，降低办公场所电力、水、纸张的消耗，在工作中进一步实现无纸化办公，推动各项工作集约化、精细化和规范化。五是加强绿色金融培训宣传，提升整体绿色金融业务能力及影响力。</w:t>
      </w:r>
    </w:p>
    <w:p>
      <w:pPr>
        <w:pStyle w:val="27"/>
        <w:rPr>
          <w:rFonts w:hint="eastAsia"/>
          <w:sz w:val="32"/>
          <w:szCs w:val="32"/>
          <w:lang w:val="en-US" w:eastAsia="zh-CN"/>
        </w:rPr>
      </w:pPr>
      <w:bookmarkStart w:id="39" w:name="_Toc25039"/>
      <w:r>
        <w:rPr>
          <w:rFonts w:hint="eastAsia"/>
          <w:sz w:val="32"/>
          <w:szCs w:val="32"/>
          <w:lang w:val="en-US" w:eastAsia="zh-CN"/>
        </w:rPr>
        <w:t>治理结构</w:t>
      </w:r>
      <w:bookmarkEnd w:id="39"/>
    </w:p>
    <w:p>
      <w:pPr>
        <w:keepNext w:val="0"/>
        <w:keepLines w:val="0"/>
        <w:pageBreakBefore w:val="0"/>
        <w:numPr>
          <w:ilvl w:val="0"/>
          <w:numId w:val="0"/>
        </w:numPr>
        <w:kinsoku/>
        <w:wordWrap/>
        <w:overflowPunct/>
        <w:topLinePunct w:val="0"/>
        <w:bidi w:val="0"/>
        <w:adjustRightInd/>
        <w:snapToGrid/>
        <w:spacing w:line="560" w:lineRule="exact"/>
        <w:ind w:left="0" w:leftChars="0" w:right="0" w:rightChars="0" w:firstLine="640"/>
        <w:jc w:val="left"/>
        <w:textAlignment w:val="auto"/>
        <w:rPr>
          <w:rFonts w:hint="eastAsia" w:ascii="黑体" w:hAnsi="黑体" w:eastAsia="黑体" w:cs="Times New Roman"/>
          <w:color w:val="auto"/>
          <w:kern w:val="2"/>
          <w:sz w:val="32"/>
          <w:szCs w:val="32"/>
          <w:u w:val="none" w:color="000000"/>
          <w:lang w:val="en-US" w:eastAsia="zh-CN" w:bidi="ar-SA"/>
        </w:rPr>
      </w:pPr>
      <w:r>
        <w:rPr>
          <w:rFonts w:hint="eastAsia" w:ascii="方正仿宋_GBK" w:hAnsi="方正仿宋_GBK" w:eastAsia="方正仿宋_GBK" w:cs="方正仿宋_GBK"/>
          <w:kern w:val="2"/>
          <w:sz w:val="32"/>
          <w:szCs w:val="32"/>
          <w:lang w:val="en-US" w:eastAsia="zh-CN" w:bidi="ar-SA"/>
        </w:rPr>
        <w:t>2017年以来，成立交通银行湖州分行绿色金融工作领导小组，由分行行长任组长，各副行长任副组长，授信与风险管理部、公司业务部、国际业务部、普惠金融事业部、个人金融业务部、财务与营运管理部、综合管理部、信息技术部主要负责人为组员。领导小组下设绿色金融管理中心，与授信与风险管理部合署办公，已制定管理实施细则并明确各项目标任务的牵头部门及主要职责，定期向分行绿色金融管理中心报送亮点工作及发展管理总结，共同推进落实分行绿色金融改革创新相关工作。</w:t>
      </w:r>
    </w:p>
    <w:p>
      <w:pPr>
        <w:pStyle w:val="27"/>
        <w:rPr>
          <w:rFonts w:hint="eastAsia"/>
          <w:sz w:val="32"/>
          <w:szCs w:val="32"/>
          <w:lang w:val="en-US" w:eastAsia="zh-CN"/>
        </w:rPr>
      </w:pPr>
      <w:bookmarkStart w:id="40" w:name="_Toc16201"/>
      <w:r>
        <w:rPr>
          <w:rFonts w:hint="eastAsia"/>
          <w:sz w:val="32"/>
          <w:szCs w:val="32"/>
          <w:lang w:val="en-US" w:eastAsia="zh-CN"/>
        </w:rPr>
        <w:t>相关政策制度</w:t>
      </w:r>
      <w:bookmarkEnd w:id="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eastAsia="宋体" w:cs="Times New Roman"/>
          <w:color w:val="auto"/>
          <w:kern w:val="0"/>
          <w:sz w:val="21"/>
          <w:szCs w:val="20"/>
          <w:u w:val="none" w:color="auto"/>
          <w:lang w:val="zh-TW" w:eastAsia="zh-TW" w:bidi="ar-SA"/>
        </w:rPr>
      </w:pPr>
      <w:r>
        <w:rPr>
          <w:rFonts w:hint="eastAsia" w:ascii="方正仿宋_GBK" w:hAnsi="方正仿宋_GBK" w:eastAsia="方正仿宋_GBK" w:cs="方正仿宋_GBK"/>
          <w:kern w:val="2"/>
          <w:sz w:val="32"/>
          <w:szCs w:val="32"/>
          <w:lang w:val="en-US" w:eastAsia="zh-CN" w:bidi="ar-SA"/>
        </w:rPr>
        <w:t>2019年，交通银行湖州分行印发了《交通银行湖州分行绿色金融业务发展和管理实施细则》（2019年修订版）（交银湖综〔2019〕20号）、《交通银行湖州分行2019年绿色金融标杆工程活动方案》（交银湖综[2019]21号），结合前期印发的《交通银行湖州分行绿色金融业务发展和管理实施细则》（交银湖办〔2017〕59号）、《交通银行湖州分行对接湖州市国家绿色金融改革创新试验区建设行动方案》等绿色金融相关活动方案及管理细则，从绿色客户管理、绿色信贷流程管理、绿色信贷机制建设、绿色金融产品管理、绿色营运全面管理、绿色专营体系建设及绿色信息沟通管理等方面提出了具体任务要求，明确了牵头部门及主要职责，保障我行绿色金融深入展开。</w:t>
      </w:r>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表</w:t>
      </w:r>
      <w:r>
        <w:rPr>
          <w:rFonts w:hint="eastAsia" w:ascii="宋体" w:eastAsia="宋体" w:cs="Times New Roman"/>
          <w:color w:val="auto"/>
          <w:kern w:val="0"/>
          <w:sz w:val="21"/>
          <w:szCs w:val="20"/>
          <w:u w:val="none" w:color="auto"/>
          <w:lang w:val="en-US" w:eastAsia="zh-CN" w:bidi="ar-SA"/>
        </w:rPr>
        <w:t>2</w:t>
      </w:r>
      <w:r>
        <w:rPr>
          <w:rFonts w:hint="eastAsia" w:ascii="宋体" w:eastAsia="宋体" w:cs="Times New Roman"/>
          <w:color w:val="auto"/>
          <w:kern w:val="0"/>
          <w:sz w:val="21"/>
          <w:szCs w:val="20"/>
          <w:u w:val="none" w:color="auto"/>
          <w:lang w:val="zh-TW" w:eastAsia="zh-CN" w:bidi="ar-SA"/>
        </w:rPr>
        <w:t>. 金融机构环境政策制度情况表</w:t>
      </w:r>
    </w:p>
    <w:tbl>
      <w:tblPr>
        <w:tblStyle w:val="20"/>
        <w:tblW w:w="846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83"/>
        <w:gridCol w:w="1434"/>
        <w:gridCol w:w="2637"/>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文件名称</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发文文号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文件类型</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文件主要内容</w:t>
            </w:r>
          </w:p>
        </w:tc>
        <w:tc>
          <w:tcPr>
            <w:tcW w:w="1562"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《关于丰富绿色信贷内涵及持续深化工程建设的通知》</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交银办函〔2012〕90号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en-US" w:eastAsia="zh-CN" w:bidi="ar-SA"/>
              </w:rPr>
            </w:pPr>
            <w:r>
              <w:rPr>
                <w:rFonts w:hint="eastAsia" w:ascii="宋体" w:eastAsia="宋体" w:cs="Times New Roman"/>
                <w:color w:val="auto"/>
                <w:kern w:val="0"/>
                <w:sz w:val="21"/>
                <w:szCs w:val="20"/>
                <w:u w:val="none" w:color="auto"/>
                <w:lang w:val="en-US" w:eastAsia="zh-CN" w:bidi="ar-SA"/>
              </w:rPr>
              <w:t>战略规划</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将安全、健康等纳入“绿色信贷”工程管理要求，修订完善《交通银行“绿色信贷”标识分类操作手册（第三版）》，健全“绿色信贷”工程管理体系。</w:t>
            </w:r>
          </w:p>
        </w:tc>
        <w:tc>
          <w:tcPr>
            <w:tcW w:w="1562"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已建立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《关于印发交通银行行业绿色信贷管理指引的通知》</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交银办〔2015〕174号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管理办法</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制定发展目标，着力做好以下工作：一是构建环境和社会风险A、B、C分类体系；二是建立环境和社会风险清单；三是完善名单制管理；四是建立绿色信贷优先支持机制；五是提升自身环境和社会表现。</w:t>
            </w:r>
          </w:p>
        </w:tc>
        <w:tc>
          <w:tcPr>
            <w:tcW w:w="1562"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已建立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《关于进一步加强绿色信贷工作的通知》</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交银办〔2017〕228号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管理办法</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要求做好新常态下交行绿色信贷工作，包括：一、高度重视绿色信贷工作；二、全面掌握绿色信贷工作评价内容；三、抓好薄弱环节，提升绿色信贷工作水平；四、以考核管理为抓手，确保各项要求落到实处。</w:t>
            </w:r>
          </w:p>
        </w:tc>
        <w:tc>
          <w:tcPr>
            <w:tcW w:w="1562"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已建立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TW" w:bidi="ar-SA"/>
              </w:rPr>
            </w:pPr>
            <w:r>
              <w:rPr>
                <w:rFonts w:hint="eastAsia" w:ascii="宋体" w:eastAsia="宋体" w:cs="Times New Roman"/>
                <w:color w:val="auto"/>
                <w:kern w:val="0"/>
                <w:sz w:val="21"/>
                <w:szCs w:val="20"/>
                <w:u w:val="none" w:color="auto"/>
                <w:lang w:val="zh-TW" w:eastAsia="zh-CN" w:bidi="ar-SA"/>
              </w:rPr>
              <w:t>《</w:t>
            </w:r>
            <w:r>
              <w:rPr>
                <w:rFonts w:hint="eastAsia" w:ascii="宋体" w:eastAsia="宋体" w:cs="Times New Roman"/>
                <w:color w:val="auto"/>
                <w:kern w:val="0"/>
                <w:sz w:val="21"/>
                <w:szCs w:val="20"/>
                <w:u w:val="none" w:color="auto"/>
                <w:lang w:val="zh-TW" w:eastAsia="zh-TW" w:bidi="ar-SA"/>
              </w:rPr>
              <w:t>关于</w:t>
            </w:r>
            <w:r>
              <w:rPr>
                <w:rFonts w:hint="eastAsia" w:ascii="宋体" w:eastAsia="宋体" w:cs="Times New Roman"/>
                <w:color w:val="auto"/>
                <w:kern w:val="0"/>
                <w:sz w:val="21"/>
                <w:szCs w:val="20"/>
                <w:u w:val="none" w:color="auto"/>
                <w:lang w:val="zh-TW" w:eastAsia="zh-CN" w:bidi="ar-SA"/>
              </w:rPr>
              <w:t>进一步</w:t>
            </w:r>
            <w:r>
              <w:rPr>
                <w:rFonts w:hint="eastAsia" w:ascii="宋体" w:eastAsia="宋体" w:cs="Times New Roman"/>
                <w:color w:val="auto"/>
                <w:kern w:val="0"/>
                <w:sz w:val="21"/>
                <w:szCs w:val="20"/>
                <w:u w:val="none" w:color="auto"/>
                <w:lang w:val="zh-TW" w:eastAsia="zh-TW" w:bidi="ar-SA"/>
              </w:rPr>
              <w:t>加强全辖</w:t>
            </w:r>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both"/>
              <w:textAlignment w:val="auto"/>
              <w:rPr>
                <w:rFonts w:hint="eastAsia" w:ascii="宋体" w:eastAsia="宋体" w:cs="Times New Roman"/>
                <w:color w:val="auto"/>
                <w:kern w:val="0"/>
                <w:sz w:val="21"/>
                <w:szCs w:val="20"/>
                <w:u w:val="none" w:color="auto"/>
                <w:lang w:val="zh-TW" w:eastAsia="zh-TW" w:bidi="ar-SA"/>
              </w:rPr>
            </w:pPr>
            <w:r>
              <w:rPr>
                <w:rFonts w:hint="eastAsia" w:ascii="宋体" w:eastAsia="宋体" w:cs="Times New Roman"/>
                <w:color w:val="auto"/>
                <w:kern w:val="0"/>
                <w:sz w:val="21"/>
                <w:szCs w:val="20"/>
                <w:u w:val="none" w:color="auto"/>
                <w:lang w:val="zh-TW" w:eastAsia="zh-TW" w:bidi="ar-SA"/>
              </w:rPr>
              <w:t>绿色信贷业务发展和管理的通知</w:t>
            </w:r>
            <w:r>
              <w:rPr>
                <w:rFonts w:hint="eastAsia" w:ascii="宋体" w:eastAsia="宋体" w:cs="Times New Roman"/>
                <w:color w:val="auto"/>
                <w:kern w:val="0"/>
                <w:sz w:val="21"/>
                <w:szCs w:val="20"/>
                <w:u w:val="none" w:color="auto"/>
                <w:lang w:val="zh-TW" w:eastAsia="zh-CN" w:bidi="ar-SA"/>
              </w:rPr>
              <w:t>》</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TW" w:bidi="ar-SA"/>
              </w:rPr>
            </w:pPr>
            <w:r>
              <w:rPr>
                <w:rFonts w:hint="eastAsia" w:ascii="宋体" w:eastAsia="宋体" w:cs="Times New Roman"/>
                <w:color w:val="auto"/>
                <w:kern w:val="0"/>
                <w:sz w:val="21"/>
                <w:szCs w:val="20"/>
                <w:u w:val="none" w:color="auto"/>
                <w:lang w:val="zh-TW" w:eastAsia="zh-TW" w:bidi="ar-SA"/>
              </w:rPr>
              <w:t>交银浙办〔2017〕122 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管理办法</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both"/>
              <w:textAlignment w:val="auto"/>
              <w:rPr>
                <w:rFonts w:hint="eastAsia" w:ascii="宋体" w:eastAsia="宋体" w:cs="Times New Roman"/>
                <w:color w:val="auto"/>
                <w:kern w:val="0"/>
                <w:sz w:val="21"/>
                <w:szCs w:val="20"/>
                <w:u w:val="none" w:color="auto"/>
                <w:lang w:val="zh-TW" w:eastAsia="zh-TW" w:bidi="ar-SA"/>
              </w:rPr>
            </w:pPr>
            <w:r>
              <w:rPr>
                <w:rFonts w:hint="eastAsia" w:ascii="宋体" w:eastAsia="宋体" w:cs="Times New Roman"/>
                <w:color w:val="auto"/>
                <w:kern w:val="0"/>
                <w:sz w:val="21"/>
                <w:szCs w:val="20"/>
                <w:u w:val="none" w:color="auto"/>
                <w:lang w:val="zh-TW" w:eastAsia="zh-CN" w:bidi="ar-SA"/>
              </w:rPr>
              <w:t>通知要求</w:t>
            </w:r>
            <w:r>
              <w:rPr>
                <w:rFonts w:hint="eastAsia" w:ascii="宋体" w:eastAsia="宋体" w:cs="Times New Roman"/>
                <w:color w:val="auto"/>
                <w:kern w:val="0"/>
                <w:sz w:val="21"/>
                <w:szCs w:val="20"/>
                <w:u w:val="none" w:color="auto"/>
                <w:lang w:val="zh-TW" w:eastAsia="zh-TW" w:bidi="ar-SA"/>
              </w:rPr>
              <w:t>加大对绿色产业的信贷支持力度，积极提高全辖绿色金融业务份额，切实提升绿色金融业务发展质效。</w:t>
            </w:r>
            <w:r>
              <w:rPr>
                <w:rFonts w:hint="eastAsia" w:ascii="宋体" w:eastAsia="宋体" w:cs="Times New Roman"/>
                <w:color w:val="auto"/>
                <w:kern w:val="0"/>
                <w:sz w:val="21"/>
                <w:szCs w:val="20"/>
                <w:u w:val="none" w:color="auto"/>
                <w:lang w:val="zh-TW" w:eastAsia="zh-CN" w:bidi="ar-SA"/>
              </w:rPr>
              <w:t>主要具体工作要求明确如下：</w:t>
            </w:r>
            <w:r>
              <w:rPr>
                <w:rFonts w:hint="eastAsia" w:ascii="宋体" w:eastAsia="宋体" w:cs="Times New Roman"/>
                <w:color w:val="auto"/>
                <w:kern w:val="0"/>
                <w:sz w:val="21"/>
                <w:szCs w:val="20"/>
                <w:u w:val="none" w:color="auto"/>
                <w:lang w:val="zh-TW" w:eastAsia="zh-TW" w:bidi="ar-SA"/>
              </w:rPr>
              <w:t>一、高度重视，加快绿色信贷业务发展</w:t>
            </w:r>
            <w:r>
              <w:rPr>
                <w:rFonts w:hint="eastAsia" w:ascii="宋体" w:eastAsia="宋体" w:cs="Times New Roman"/>
                <w:color w:val="auto"/>
                <w:kern w:val="0"/>
                <w:sz w:val="21"/>
                <w:szCs w:val="20"/>
                <w:u w:val="none" w:color="auto"/>
                <w:lang w:val="zh-TW" w:eastAsia="zh-CN" w:bidi="ar-SA"/>
              </w:rPr>
              <w:t>；二、专人跟进，将绿色信贷管理工作落到实处；三、贯穿全流程，加强绿色信贷基础管理；四、加强品牌宣传，树立良好企业形象；五、加强统计管理，建立季度报告制度；六、实施考核评价，提升绿色信贷工作质效。</w:t>
            </w:r>
          </w:p>
        </w:tc>
        <w:tc>
          <w:tcPr>
            <w:tcW w:w="1562"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已建立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《交通银行湖州分行绿色金融业务发展和管理实施细则》（2019年修订版）</w:t>
            </w:r>
          </w:p>
        </w:tc>
        <w:tc>
          <w:tcPr>
            <w:tcW w:w="1383"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交银湖综〔2019〕20号</w:t>
            </w:r>
          </w:p>
        </w:tc>
        <w:tc>
          <w:tcPr>
            <w:tcW w:w="1434"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管理办法</w:t>
            </w:r>
          </w:p>
        </w:tc>
        <w:tc>
          <w:tcPr>
            <w:tcW w:w="2637" w:type="dxa"/>
            <w:tcBorders>
              <w:tl2br w:val="nil"/>
              <w:tr2bl w:val="nil"/>
            </w:tcBorders>
            <w:vAlign w:val="top"/>
          </w:tcPr>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制定分行绿色金融业务发展目标，完善组织保障，</w:t>
            </w:r>
            <w:r>
              <w:rPr>
                <w:rFonts w:hint="eastAsia" w:ascii="宋体" w:eastAsia="宋体" w:cs="Times New Roman"/>
                <w:color w:val="auto"/>
                <w:kern w:val="0"/>
                <w:sz w:val="21"/>
                <w:szCs w:val="20"/>
                <w:u w:val="none" w:color="auto"/>
                <w:lang w:val="zh-TW" w:eastAsia="zh-CN" w:bidi="ar-SA"/>
              </w:rPr>
              <w:t>修订了</w:t>
            </w:r>
            <w:r>
              <w:rPr>
                <w:rFonts w:hint="eastAsia" w:ascii="宋体" w:eastAsia="宋体" w:cs="Times New Roman"/>
                <w:color w:val="auto"/>
                <w:kern w:val="0"/>
                <w:sz w:val="21"/>
                <w:szCs w:val="20"/>
                <w:u w:val="none" w:color="auto"/>
                <w:lang w:val="zh-TW" w:eastAsia="zh-TW" w:bidi="ar-SA"/>
              </w:rPr>
              <w:t>包括</w:t>
            </w:r>
            <w:r>
              <w:rPr>
                <w:rFonts w:hint="eastAsia" w:ascii="宋体" w:eastAsia="宋体" w:cs="Times New Roman"/>
                <w:color w:val="auto"/>
                <w:kern w:val="0"/>
                <w:sz w:val="21"/>
                <w:szCs w:val="20"/>
                <w:u w:val="none" w:color="auto"/>
                <w:lang w:val="en-US" w:eastAsia="zh-CN" w:bidi="ar-SA"/>
              </w:rPr>
              <w:t>:一、</w:t>
            </w:r>
            <w:r>
              <w:rPr>
                <w:rFonts w:hint="eastAsia" w:ascii="宋体" w:eastAsia="宋体" w:cs="Times New Roman"/>
                <w:color w:val="auto"/>
                <w:kern w:val="0"/>
                <w:sz w:val="21"/>
                <w:szCs w:val="20"/>
                <w:u w:val="none" w:color="auto"/>
                <w:lang w:val="zh-TW" w:eastAsia="zh-TW" w:bidi="ar-SA"/>
              </w:rPr>
              <w:t>绿色信贷客户管理</w:t>
            </w:r>
            <w:r>
              <w:rPr>
                <w:rFonts w:hint="eastAsia" w:ascii="宋体" w:eastAsia="宋体" w:cs="Times New Roman"/>
                <w:color w:val="auto"/>
                <w:kern w:val="0"/>
                <w:sz w:val="21"/>
                <w:szCs w:val="20"/>
                <w:u w:val="none" w:color="auto"/>
                <w:lang w:val="zh-TW" w:eastAsia="zh-CN" w:bidi="ar-SA"/>
              </w:rPr>
              <w:t>；二、</w:t>
            </w:r>
            <w:r>
              <w:rPr>
                <w:rFonts w:hint="eastAsia" w:ascii="宋体" w:eastAsia="宋体" w:cs="Times New Roman"/>
                <w:color w:val="auto"/>
                <w:kern w:val="0"/>
                <w:sz w:val="21"/>
                <w:szCs w:val="20"/>
                <w:u w:val="none" w:color="auto"/>
                <w:lang w:val="zh-TW" w:eastAsia="zh-TW" w:bidi="ar-SA"/>
              </w:rPr>
              <w:t>绿色信贷流程管理</w:t>
            </w:r>
            <w:r>
              <w:rPr>
                <w:rFonts w:hint="eastAsia" w:ascii="宋体" w:eastAsia="宋体" w:cs="Times New Roman"/>
                <w:color w:val="auto"/>
                <w:kern w:val="0"/>
                <w:sz w:val="21"/>
                <w:szCs w:val="20"/>
                <w:u w:val="none" w:color="auto"/>
                <w:lang w:val="zh-TW" w:eastAsia="zh-CN" w:bidi="ar-SA"/>
              </w:rPr>
              <w:t>；三、</w:t>
            </w:r>
            <w:r>
              <w:rPr>
                <w:rFonts w:hint="eastAsia" w:ascii="宋体" w:eastAsia="宋体" w:cs="Times New Roman"/>
                <w:color w:val="auto"/>
                <w:kern w:val="0"/>
                <w:sz w:val="21"/>
                <w:szCs w:val="20"/>
                <w:u w:val="none" w:color="auto"/>
                <w:lang w:val="zh-TW" w:eastAsia="zh-TW" w:bidi="ar-SA"/>
              </w:rPr>
              <w:t>绿色信贷机制建设</w:t>
            </w:r>
            <w:r>
              <w:rPr>
                <w:rFonts w:hint="eastAsia" w:ascii="宋体" w:eastAsia="宋体" w:cs="Times New Roman"/>
                <w:color w:val="auto"/>
                <w:kern w:val="0"/>
                <w:sz w:val="21"/>
                <w:szCs w:val="20"/>
                <w:u w:val="none" w:color="auto"/>
                <w:lang w:val="zh-TW" w:eastAsia="zh-CN" w:bidi="ar-SA"/>
              </w:rPr>
              <w:t>；四、</w:t>
            </w:r>
            <w:r>
              <w:rPr>
                <w:rFonts w:hint="eastAsia" w:ascii="宋体" w:eastAsia="宋体" w:cs="Times New Roman"/>
                <w:color w:val="auto"/>
                <w:kern w:val="0"/>
                <w:sz w:val="21"/>
                <w:szCs w:val="20"/>
                <w:u w:val="none" w:color="auto"/>
                <w:lang w:val="zh-TW" w:eastAsia="zh-TW" w:bidi="ar-SA"/>
              </w:rPr>
              <w:t>绿色金融产品管理</w:t>
            </w:r>
            <w:r>
              <w:rPr>
                <w:rFonts w:hint="eastAsia" w:ascii="宋体" w:eastAsia="宋体" w:cs="Times New Roman"/>
                <w:color w:val="auto"/>
                <w:kern w:val="0"/>
                <w:sz w:val="21"/>
                <w:szCs w:val="20"/>
                <w:u w:val="none" w:color="auto"/>
                <w:lang w:val="zh-TW" w:eastAsia="zh-CN" w:bidi="ar-SA"/>
              </w:rPr>
              <w:t>；五、</w:t>
            </w:r>
            <w:r>
              <w:rPr>
                <w:rFonts w:hint="eastAsia" w:ascii="宋体" w:eastAsia="宋体" w:cs="Times New Roman"/>
                <w:color w:val="auto"/>
                <w:kern w:val="0"/>
                <w:sz w:val="21"/>
                <w:szCs w:val="20"/>
                <w:u w:val="none" w:color="auto"/>
                <w:lang w:val="zh-TW" w:eastAsia="zh-TW" w:bidi="ar-SA"/>
              </w:rPr>
              <w:t>绿色营运全面管理</w:t>
            </w:r>
            <w:r>
              <w:rPr>
                <w:rFonts w:hint="eastAsia" w:ascii="宋体" w:eastAsia="宋体" w:cs="Times New Roman"/>
                <w:color w:val="auto"/>
                <w:kern w:val="0"/>
                <w:sz w:val="21"/>
                <w:szCs w:val="20"/>
                <w:u w:val="none" w:color="auto"/>
                <w:lang w:val="zh-TW" w:eastAsia="zh-CN" w:bidi="ar-SA"/>
              </w:rPr>
              <w:t>；六、</w:t>
            </w:r>
            <w:r>
              <w:rPr>
                <w:rFonts w:hint="eastAsia" w:ascii="宋体" w:eastAsia="宋体" w:cs="Times New Roman"/>
                <w:color w:val="auto"/>
                <w:kern w:val="0"/>
                <w:sz w:val="21"/>
                <w:szCs w:val="20"/>
                <w:u w:val="none" w:color="auto"/>
                <w:lang w:val="zh-TW" w:eastAsia="zh-TW" w:bidi="ar-SA"/>
              </w:rPr>
              <w:t>绿色专营体系建设</w:t>
            </w:r>
            <w:r>
              <w:rPr>
                <w:rFonts w:hint="eastAsia" w:ascii="宋体" w:eastAsia="宋体" w:cs="Times New Roman"/>
                <w:color w:val="auto"/>
                <w:kern w:val="0"/>
                <w:sz w:val="21"/>
                <w:szCs w:val="20"/>
                <w:u w:val="none" w:color="auto"/>
                <w:lang w:val="zh-TW" w:eastAsia="zh-CN" w:bidi="ar-SA"/>
              </w:rPr>
              <w:t>；七、</w:t>
            </w:r>
            <w:r>
              <w:rPr>
                <w:rFonts w:hint="eastAsia" w:ascii="宋体" w:eastAsia="宋体" w:cs="Times New Roman"/>
                <w:color w:val="auto"/>
                <w:kern w:val="0"/>
                <w:sz w:val="21"/>
                <w:szCs w:val="20"/>
                <w:u w:val="none" w:color="auto"/>
                <w:lang w:val="zh-TW" w:eastAsia="zh-TW" w:bidi="ar-SA"/>
              </w:rPr>
              <w:t>绿色信息沟通管理在内的主要任务，并分配了任务牵头部门。</w:t>
            </w:r>
          </w:p>
        </w:tc>
        <w:tc>
          <w:tcPr>
            <w:tcW w:w="1562"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en-US" w:eastAsia="zh-CN" w:bidi="ar-SA"/>
              </w:rPr>
              <w:t xml:space="preserve">   </w:t>
            </w:r>
            <w:r>
              <w:rPr>
                <w:rFonts w:hint="eastAsia" w:ascii="宋体" w:eastAsia="宋体" w:cs="Times New Roman"/>
                <w:color w:val="auto"/>
                <w:kern w:val="0"/>
                <w:sz w:val="21"/>
                <w:szCs w:val="20"/>
                <w:u w:val="none" w:color="auto"/>
                <w:lang w:val="zh-TW" w:eastAsia="zh-CN" w:bidi="ar-SA"/>
              </w:rPr>
              <w:t>当年新增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449"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w:t>
            </w:r>
            <w:r>
              <w:rPr>
                <w:rFonts w:hint="eastAsia" w:ascii="宋体" w:eastAsia="宋体" w:cs="Times New Roman"/>
                <w:color w:val="auto"/>
                <w:kern w:val="0"/>
                <w:sz w:val="21"/>
                <w:szCs w:val="20"/>
                <w:u w:val="none" w:color="auto"/>
                <w:lang w:val="zh-TW" w:eastAsia="zh-TW" w:bidi="ar-SA"/>
              </w:rPr>
              <w:t>交通银行湖州分行2019 年绿色金融标杆工程活动方案</w:t>
            </w:r>
            <w:r>
              <w:rPr>
                <w:rFonts w:hint="eastAsia" w:ascii="宋体" w:eastAsia="宋体" w:cs="Times New Roman"/>
                <w:color w:val="auto"/>
                <w:kern w:val="0"/>
                <w:sz w:val="21"/>
                <w:szCs w:val="20"/>
                <w:u w:val="none" w:color="auto"/>
                <w:lang w:val="zh-TW" w:eastAsia="zh-CN" w:bidi="ar-SA"/>
              </w:rPr>
              <w:t>》</w:t>
            </w:r>
          </w:p>
        </w:tc>
        <w:tc>
          <w:tcPr>
            <w:tcW w:w="1383"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TW" w:bidi="ar-SA"/>
              </w:rPr>
              <w:t>交银湖综〔2019〕21 号</w:t>
            </w:r>
          </w:p>
        </w:tc>
        <w:tc>
          <w:tcPr>
            <w:tcW w:w="1434"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en-US" w:eastAsia="zh-CN" w:bidi="ar-SA"/>
              </w:rPr>
              <w:t xml:space="preserve">  </w:t>
            </w:r>
            <w:r>
              <w:rPr>
                <w:rFonts w:hint="eastAsia" w:ascii="宋体" w:eastAsia="宋体" w:cs="Times New Roman"/>
                <w:color w:val="auto"/>
                <w:kern w:val="0"/>
                <w:sz w:val="21"/>
                <w:szCs w:val="20"/>
                <w:u w:val="none" w:color="auto"/>
                <w:lang w:val="zh-TW" w:eastAsia="zh-CN" w:bidi="ar-SA"/>
              </w:rPr>
              <w:t>战略规划</w:t>
            </w:r>
          </w:p>
        </w:tc>
        <w:tc>
          <w:tcPr>
            <w:tcW w:w="2637"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zh-TW" w:eastAsia="zh-CN" w:bidi="ar-SA"/>
              </w:rPr>
              <w:t>从工作目标、组织保障、主要任务等方面明确了分行绿色金融相关工作要求，并分配了任务牵头部门。</w:t>
            </w:r>
          </w:p>
        </w:tc>
        <w:tc>
          <w:tcPr>
            <w:tcW w:w="1562" w:type="dxa"/>
            <w:tcBorders>
              <w:tl2br w:val="nil"/>
              <w:tr2bl w:val="nil"/>
            </w:tcBorders>
            <w:vAlign w:val="top"/>
          </w:tcPr>
          <w:p>
            <w:pPr>
              <w:pStyle w:val="5"/>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eastAsia="宋体" w:cs="Times New Roman"/>
                <w:color w:val="auto"/>
                <w:kern w:val="0"/>
                <w:sz w:val="21"/>
                <w:szCs w:val="20"/>
                <w:u w:val="none" w:color="auto"/>
                <w:lang w:val="zh-TW" w:eastAsia="zh-CN" w:bidi="ar-SA"/>
              </w:rPr>
            </w:pPr>
            <w:r>
              <w:rPr>
                <w:rFonts w:hint="eastAsia" w:ascii="宋体" w:eastAsia="宋体" w:cs="Times New Roman"/>
                <w:color w:val="auto"/>
                <w:kern w:val="0"/>
                <w:sz w:val="21"/>
                <w:szCs w:val="20"/>
                <w:u w:val="none" w:color="auto"/>
                <w:lang w:val="en-US" w:eastAsia="zh-CN" w:bidi="ar-SA"/>
              </w:rPr>
              <w:t xml:space="preserve">   </w:t>
            </w:r>
            <w:r>
              <w:rPr>
                <w:rFonts w:hint="eastAsia" w:ascii="宋体" w:eastAsia="宋体" w:cs="Times New Roman"/>
                <w:color w:val="auto"/>
                <w:kern w:val="0"/>
                <w:sz w:val="21"/>
                <w:szCs w:val="20"/>
                <w:u w:val="none" w:color="auto"/>
                <w:lang w:val="zh-TW" w:eastAsia="zh-CN" w:bidi="ar-SA"/>
              </w:rPr>
              <w:t>当年新增</w:t>
            </w:r>
          </w:p>
        </w:tc>
      </w:tr>
    </w:tbl>
    <w:p>
      <w:pPr>
        <w:pStyle w:val="27"/>
        <w:rPr>
          <w:rFonts w:hint="eastAsia"/>
          <w:sz w:val="32"/>
          <w:szCs w:val="32"/>
          <w:lang w:val="en-US" w:eastAsia="zh-CN"/>
        </w:rPr>
      </w:pPr>
      <w:bookmarkStart w:id="41" w:name="_Toc1373"/>
      <w:r>
        <w:rPr>
          <w:rFonts w:hint="eastAsia"/>
          <w:sz w:val="32"/>
          <w:szCs w:val="32"/>
          <w:lang w:val="en-US" w:eastAsia="zh-CN"/>
        </w:rPr>
        <w:t>环境风险、机遇分析与管理</w:t>
      </w:r>
      <w:bookmarkEnd w:id="41"/>
    </w:p>
    <w:p>
      <w:pPr>
        <w:pStyle w:val="25"/>
        <w:rPr>
          <w:rFonts w:hint="eastAsia"/>
          <w:sz w:val="28"/>
          <w:szCs w:val="28"/>
          <w:lang w:val="zh-TW"/>
        </w:rPr>
      </w:pPr>
      <w:bookmarkStart w:id="42" w:name="_Toc30854"/>
      <w:r>
        <w:rPr>
          <w:rFonts w:hint="eastAsia"/>
          <w:sz w:val="28"/>
          <w:szCs w:val="28"/>
          <w:lang w:val="zh-TW"/>
        </w:rPr>
        <w:t>环境风险影响</w:t>
      </w:r>
      <w:bookmarkEnd w:id="42"/>
    </w:p>
    <w:p>
      <w:pPr>
        <w:pStyle w:val="5"/>
        <w:keepNext w:val="0"/>
        <w:keepLines w:val="0"/>
        <w:pageBreakBefore w:val="0"/>
        <w:widowControl w:val="0"/>
        <w:numPr>
          <w:ilvl w:val="0"/>
          <w:numId w:val="0"/>
        </w:numPr>
        <w:tabs>
          <w:tab w:val="left" w:pos="949"/>
        </w:tabs>
        <w:kinsoku/>
        <w:wordWrap/>
        <w:overflowPunct/>
        <w:topLinePunct w:val="0"/>
        <w:bidi w:val="0"/>
        <w:adjustRightInd/>
        <w:snapToGrid/>
        <w:spacing w:line="560" w:lineRule="exact"/>
        <w:ind w:left="0" w:leftChars="0" w:right="0" w:rightChars="0"/>
        <w:jc w:val="both"/>
        <w:textAlignment w:val="auto"/>
        <w:rPr>
          <w:rFonts w:hint="eastAsia" w:ascii="仿宋_GB2312" w:hAnsi="仿宋_GB2312" w:eastAsia="仿宋_GB2312" w:cs="仿宋_GB2312"/>
          <w:b/>
          <w:kern w:val="2"/>
          <w:sz w:val="32"/>
          <w:szCs w:val="32"/>
          <w:u w:val="none" w:color="000000"/>
          <w:lang w:val="zh-TW"/>
        </w:rPr>
      </w:pPr>
      <w:r>
        <w:rPr>
          <w:rFonts w:hint="eastAsia" w:ascii="方正仿宋_GBK" w:hAnsi="方正仿宋_GBK" w:eastAsia="方正仿宋_GBK" w:cs="方正仿宋_GBK"/>
          <w:kern w:val="2"/>
          <w:sz w:val="32"/>
          <w:szCs w:val="32"/>
          <w:lang w:val="en-US" w:eastAsia="zh-CN" w:bidi="ar-SA"/>
        </w:rPr>
        <w:t xml:space="preserve">    针对环境风险可能对金融机构造成的影响，我行对存在重大环境和社会风险的客户实行名单制管理，制定并落实重大风险应对预案，建立充分、有效的利益相关方沟通机制，并要求其寻求第三方分担环境和社会风险。基于环境因素产生的相关机遇，</w:t>
      </w:r>
      <w:r>
        <w:rPr>
          <w:rFonts w:hint="eastAsia" w:ascii="方正仿宋_GBK" w:hAnsi="方正仿宋_GBK" w:eastAsia="方正仿宋_GBK" w:cs="方正仿宋_GBK"/>
          <w:kern w:val="2"/>
          <w:sz w:val="32"/>
          <w:szCs w:val="32"/>
          <w:lang w:val="zh-TW" w:eastAsia="zh-TW" w:bidi="ar-SA"/>
        </w:rPr>
        <w:t>鼓励大力发展绿色金融，优先支持技术经济标准达到国内国际先进水平的客户及项目</w:t>
      </w:r>
      <w:r>
        <w:rPr>
          <w:rFonts w:hint="eastAsia" w:ascii="方正仿宋_GBK" w:hAnsi="方正仿宋_GBK" w:eastAsia="方正仿宋_GBK" w:cs="方正仿宋_GBK"/>
          <w:kern w:val="2"/>
          <w:sz w:val="32"/>
          <w:szCs w:val="32"/>
          <w:lang w:val="zh-TW" w:eastAsia="zh-CN" w:bidi="ar-SA"/>
        </w:rPr>
        <w:t>，</w:t>
      </w:r>
      <w:r>
        <w:rPr>
          <w:rFonts w:hint="eastAsia" w:ascii="方正仿宋_GBK" w:hAnsi="方正仿宋_GBK" w:eastAsia="方正仿宋_GBK" w:cs="方正仿宋_GBK"/>
          <w:kern w:val="2"/>
          <w:sz w:val="32"/>
          <w:szCs w:val="32"/>
          <w:lang w:val="zh-TW" w:eastAsia="zh-TW" w:bidi="ar-SA"/>
        </w:rPr>
        <w:t>在同等条件下优先审批用于支持绿色、低碳、循环经济的融资申请</w:t>
      </w:r>
      <w:r>
        <w:rPr>
          <w:rFonts w:hint="eastAsia" w:ascii="方正仿宋_GBK" w:hAnsi="方正仿宋_GBK" w:eastAsia="方正仿宋_GBK" w:cs="方正仿宋_GBK"/>
          <w:kern w:val="2"/>
          <w:sz w:val="32"/>
          <w:szCs w:val="32"/>
          <w:lang w:val="zh-TW" w:eastAsia="zh-CN" w:bidi="ar-SA"/>
        </w:rPr>
        <w:t>。</w:t>
      </w:r>
      <w:r>
        <w:rPr>
          <w:rFonts w:hint="eastAsia" w:ascii="方正仿宋_GBK" w:hAnsi="方正仿宋_GBK" w:eastAsia="方正仿宋_GBK" w:cs="方正仿宋_GBK"/>
          <w:kern w:val="2"/>
          <w:sz w:val="32"/>
          <w:szCs w:val="32"/>
          <w:lang w:val="zh-TW" w:eastAsia="zh-TW" w:bidi="ar-SA"/>
        </w:rPr>
        <w:t>积极发展与绿色、低碳、循环经济有关的金融产品和服务</w:t>
      </w:r>
      <w:r>
        <w:rPr>
          <w:rFonts w:hint="eastAsia" w:ascii="方正仿宋_GBK" w:hAnsi="方正仿宋_GBK" w:eastAsia="方正仿宋_GBK" w:cs="方正仿宋_GBK"/>
          <w:kern w:val="2"/>
          <w:sz w:val="32"/>
          <w:szCs w:val="32"/>
          <w:lang w:val="zh-TW" w:eastAsia="zh-CN" w:bidi="ar-SA"/>
        </w:rPr>
        <w:t>；</w:t>
      </w:r>
      <w:r>
        <w:rPr>
          <w:rFonts w:hint="eastAsia" w:ascii="方正仿宋_GBK" w:hAnsi="方正仿宋_GBK" w:eastAsia="方正仿宋_GBK" w:cs="方正仿宋_GBK"/>
          <w:kern w:val="2"/>
          <w:sz w:val="32"/>
          <w:szCs w:val="32"/>
          <w:lang w:val="zh-TW" w:eastAsia="zh-TW" w:bidi="ar-SA"/>
        </w:rPr>
        <w:t>发展电子银行业务等新型银行服务业。</w:t>
      </w:r>
    </w:p>
    <w:p>
      <w:pPr>
        <w:pStyle w:val="25"/>
        <w:rPr>
          <w:sz w:val="32"/>
          <w:szCs w:val="32"/>
          <w:lang w:val="zh-TW"/>
        </w:rPr>
      </w:pPr>
      <w:bookmarkStart w:id="43" w:name="_Toc27658"/>
      <w:r>
        <w:rPr>
          <w:sz w:val="28"/>
          <w:szCs w:val="28"/>
          <w:lang w:val="zh-TW"/>
        </w:rPr>
        <w:t>风险管理及流程</w:t>
      </w:r>
      <w:bookmarkEnd w:id="43"/>
    </w:p>
    <w:p>
      <w:pPr>
        <w:keepNext w:val="0"/>
        <w:keepLines w:val="0"/>
        <w:pageBreakBefore w:val="0"/>
        <w:kinsoku/>
        <w:wordWrap/>
        <w:overflowPunct/>
        <w:topLinePunct w:val="0"/>
        <w:bidi w:val="0"/>
        <w:adjustRightInd/>
        <w:snapToGrid/>
        <w:spacing w:line="560" w:lineRule="exact"/>
        <w:ind w:left="0" w:leftChars="0" w:right="0" w:rightChars="0" w:firstLine="64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zh-TW" w:eastAsia="zh-CN" w:bidi="ar-SA"/>
        </w:rPr>
        <w:t>分行将客户及项目的环境和社会表现作为授信审查审批的重要评审内容，严格信贷准入。根据标识分类情况，实行分类管理，建立环境和社会风险“一票否决制”，对违反国家产业政策、环境政策、安全政策，因环境和社会事故影响企业持续经营的客户，坚决不予授信。同时，积极做好主动对接和引领指导，在严格把控业务风险的同时，积极促成绿色贷款的获批和提用。主要工作有：</w:t>
      </w:r>
      <w:r>
        <w:rPr>
          <w:rFonts w:hint="eastAsia" w:ascii="方正仿宋_GBK" w:hAnsi="方正仿宋_GBK" w:eastAsia="方正仿宋_GBK" w:cs="方正仿宋_GBK"/>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 xml:space="preserve">    一是完善绿色信贷识别体系。</w:t>
      </w:r>
      <w:r>
        <w:rPr>
          <w:rFonts w:hint="eastAsia" w:ascii="方正仿宋_GBK" w:hAnsi="方正仿宋_GBK" w:eastAsia="方正仿宋_GBK" w:cs="方正仿宋_GBK"/>
          <w:kern w:val="2"/>
          <w:sz w:val="32"/>
          <w:szCs w:val="32"/>
          <w:lang w:val="en-US" w:eastAsia="zh-CN" w:bidi="ar-SA"/>
        </w:rPr>
        <w:t>对于系统中的绿色标识，准确分类，严格执行《交通银行行业绿色信贷管理指引》中对于“三色七类”绿色信贷标识，银监会环境和社会风险A、B、C分类，节能环保项目及服务贷款等分类管理的要求。</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二</w:t>
      </w:r>
      <w:r>
        <w:rPr>
          <w:rFonts w:hint="eastAsia" w:ascii="方正仿宋_GBK" w:hAnsi="方正仿宋_GBK" w:eastAsia="方正仿宋_GBK" w:cs="方正仿宋_GBK"/>
          <w:b/>
          <w:bCs/>
          <w:kern w:val="2"/>
          <w:sz w:val="32"/>
          <w:szCs w:val="32"/>
          <w:lang w:val="en-US" w:eastAsia="zh-CN" w:bidi="ar-SA"/>
        </w:rPr>
        <w:t>是实现绿色信贷充分调查。</w:t>
      </w:r>
      <w:r>
        <w:rPr>
          <w:rFonts w:hint="eastAsia" w:ascii="方正仿宋_GBK" w:hAnsi="方正仿宋_GBK" w:eastAsia="方正仿宋_GBK" w:cs="方正仿宋_GBK"/>
          <w:kern w:val="2"/>
          <w:sz w:val="32"/>
          <w:szCs w:val="32"/>
          <w:lang w:val="en-US" w:eastAsia="zh-CN" w:bidi="ar-SA"/>
        </w:rPr>
        <w:t>绿色信贷调查分析内容已嵌入审查审批流程，新版《授信分析报告》中增加“绿色信贷分析”模块，内容包括“客户的环境和社会表现”和“客户的潜在环境和社会风险点”分析。要求正确划分企业在系统中的绿色分类标识及社会与风险分类标识，作为授信申报审核的必备要素之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b/>
          <w:bCs/>
          <w:kern w:val="2"/>
          <w:sz w:val="32"/>
          <w:szCs w:val="32"/>
          <w:lang w:val="en-US" w:eastAsia="zh-CN" w:bidi="ar-SA"/>
        </w:rPr>
        <w:t xml:space="preserve"> 三是加强绿色信贷监管深化。</w:t>
      </w:r>
      <w:r>
        <w:rPr>
          <w:rFonts w:hint="eastAsia" w:ascii="方正仿宋_GBK" w:hAnsi="方正仿宋_GBK" w:eastAsia="方正仿宋_GBK" w:cs="方正仿宋_GBK"/>
          <w:kern w:val="2"/>
          <w:sz w:val="32"/>
          <w:szCs w:val="32"/>
          <w:lang w:val="en-US" w:eastAsia="zh-CN" w:bidi="ar-SA"/>
        </w:rPr>
        <w:t>根据总行《关于落实监管要求持续做好绿色信贷工作的通知》中相关要求，在授信申报、额度提用、风险监测、定期监控流程中填写《客户环境和社会表现及风险管控情况动态评估表》或由客户经理主动发起动态评估，随报告一并上报归档。评估结果作为后续信贷准入、管理和退出的重要依据，实施分类管理。结果为“不满意”的客户，一律不予支持，不得进入授信流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仿宋_GB2312" w:hAnsi="仿宋_GB2312" w:eastAsia="仿宋_GB2312" w:cs="仿宋_GB2312"/>
          <w:b/>
          <w:kern w:val="2"/>
          <w:sz w:val="32"/>
          <w:szCs w:val="32"/>
          <w:u w:val="none" w:color="000000"/>
          <w:lang w:val="zh-TW"/>
        </w:rPr>
      </w:pP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b/>
          <w:bCs/>
          <w:kern w:val="2"/>
          <w:sz w:val="32"/>
          <w:szCs w:val="32"/>
          <w:lang w:val="en-US" w:eastAsia="zh-CN" w:bidi="ar-SA"/>
        </w:rPr>
        <w:t xml:space="preserve">  四是签订绿色信贷补充协议。</w:t>
      </w:r>
      <w:r>
        <w:rPr>
          <w:rFonts w:hint="eastAsia" w:ascii="方正仿宋_GBK" w:hAnsi="方正仿宋_GBK" w:eastAsia="方正仿宋_GBK" w:cs="方正仿宋_GBK"/>
          <w:kern w:val="2"/>
          <w:sz w:val="32"/>
          <w:szCs w:val="32"/>
          <w:lang w:val="en-US" w:eastAsia="zh-CN" w:bidi="ar-SA"/>
        </w:rPr>
        <w:t>客户经理与授信客户签署放款合同时，同时签署《绿色信贷补充协议》，对环境与社会风险相关内容进行约束。放款中心负责对《绿色信贷补充协议》签署情况进行审核把关。</w:t>
      </w:r>
    </w:p>
    <w:p>
      <w:pPr>
        <w:pStyle w:val="27"/>
        <w:rPr>
          <w:rFonts w:hint="eastAsia"/>
          <w:lang w:val="zh-TW" w:eastAsia="zh-CN"/>
        </w:rPr>
      </w:pPr>
      <w:bookmarkStart w:id="44" w:name="_Toc4848"/>
      <w:r>
        <w:rPr>
          <w:rFonts w:hint="eastAsia"/>
          <w:sz w:val="32"/>
          <w:szCs w:val="32"/>
          <w:lang w:val="en-US" w:eastAsia="zh-CN"/>
        </w:rPr>
        <w:t>经营活动对环境产生的影响</w:t>
      </w:r>
      <w:bookmarkEnd w:id="44"/>
    </w:p>
    <w:p>
      <w:pPr>
        <w:pStyle w:val="25"/>
        <w:rPr>
          <w:rFonts w:hint="eastAsia"/>
          <w:sz w:val="32"/>
          <w:szCs w:val="32"/>
          <w:lang w:val="zh-TW"/>
        </w:rPr>
      </w:pPr>
      <w:bookmarkStart w:id="45" w:name="_Toc8345"/>
      <w:r>
        <w:rPr>
          <w:rFonts w:hint="eastAsia"/>
          <w:sz w:val="28"/>
          <w:szCs w:val="28"/>
          <w:lang w:val="zh-TW"/>
        </w:rPr>
        <w:t>本机构经营活动产生的环境影响</w:t>
      </w:r>
      <w:bookmarkEnd w:id="45"/>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方正仿宋_GBK" w:hAnsi="方正仿宋_GBK" w:eastAsia="方正仿宋_GBK" w:cs="方正仿宋_GBK"/>
          <w:kern w:val="2"/>
          <w:sz w:val="32"/>
          <w:szCs w:val="32"/>
          <w:lang w:val="zh-TW" w:eastAsia="zh-CN" w:bidi="ar-SA"/>
        </w:rPr>
      </w:pP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kern w:val="2"/>
          <w:sz w:val="32"/>
          <w:szCs w:val="32"/>
          <w:lang w:val="zh-TW" w:eastAsia="zh-CN" w:bidi="ar-SA"/>
        </w:rPr>
        <w:t>201</w:t>
      </w:r>
      <w:r>
        <w:rPr>
          <w:rFonts w:hint="eastAsia" w:ascii="方正仿宋_GBK" w:hAnsi="方正仿宋_GBK" w:eastAsia="方正仿宋_GBK" w:cs="方正仿宋_GBK"/>
          <w:kern w:val="2"/>
          <w:sz w:val="32"/>
          <w:szCs w:val="32"/>
          <w:lang w:val="en-US" w:eastAsia="zh-CN" w:bidi="ar-SA"/>
        </w:rPr>
        <w:t>9</w:t>
      </w:r>
      <w:r>
        <w:rPr>
          <w:rFonts w:hint="eastAsia" w:ascii="方正仿宋_GBK" w:hAnsi="方正仿宋_GBK" w:eastAsia="方正仿宋_GBK" w:cs="方正仿宋_GBK"/>
          <w:kern w:val="2"/>
          <w:sz w:val="32"/>
          <w:szCs w:val="32"/>
          <w:lang w:val="zh-TW" w:eastAsia="zh-CN" w:bidi="ar-SA"/>
        </w:rPr>
        <w:t>年，分行在经营活动过程中，公务用车消耗燃油约</w:t>
      </w:r>
      <w:r>
        <w:rPr>
          <w:rFonts w:hint="eastAsia" w:ascii="方正仿宋_GBK" w:hAnsi="方正仿宋_GBK" w:eastAsia="方正仿宋_GBK" w:cs="方正仿宋_GBK"/>
          <w:kern w:val="2"/>
          <w:sz w:val="32"/>
          <w:szCs w:val="32"/>
          <w:lang w:val="en-US" w:eastAsia="zh-CN" w:bidi="ar-SA"/>
        </w:rPr>
        <w:t>2.2</w:t>
      </w:r>
      <w:r>
        <w:rPr>
          <w:rFonts w:hint="eastAsia" w:ascii="方正仿宋_GBK" w:hAnsi="方正仿宋_GBK" w:eastAsia="方正仿宋_GBK" w:cs="方正仿宋_GBK"/>
          <w:kern w:val="2"/>
          <w:sz w:val="32"/>
          <w:szCs w:val="32"/>
          <w:lang w:val="zh-TW" w:eastAsia="zh-CN" w:bidi="ar-SA"/>
        </w:rPr>
        <w:t>万升，消耗水</w:t>
      </w:r>
      <w:r>
        <w:rPr>
          <w:rFonts w:hint="eastAsia" w:ascii="方正仿宋_GBK" w:hAnsi="方正仿宋_GBK" w:eastAsia="方正仿宋_GBK" w:cs="方正仿宋_GBK"/>
          <w:kern w:val="2"/>
          <w:sz w:val="32"/>
          <w:szCs w:val="32"/>
          <w:lang w:val="en-US" w:eastAsia="zh-CN" w:bidi="ar-SA"/>
        </w:rPr>
        <w:t>1.86万</w:t>
      </w:r>
      <w:r>
        <w:rPr>
          <w:rFonts w:hint="eastAsia" w:ascii="方正仿宋_GBK" w:hAnsi="方正仿宋_GBK" w:eastAsia="方正仿宋_GBK" w:cs="方正仿宋_GBK"/>
          <w:kern w:val="2"/>
          <w:sz w:val="32"/>
          <w:szCs w:val="32"/>
          <w:lang w:val="zh-TW" w:eastAsia="zh-CN" w:bidi="ar-SA"/>
        </w:rPr>
        <w:t>吨，耗电</w:t>
      </w:r>
      <w:r>
        <w:rPr>
          <w:rFonts w:hint="eastAsia" w:ascii="方正仿宋_GBK" w:hAnsi="方正仿宋_GBK" w:eastAsia="方正仿宋_GBK" w:cs="方正仿宋_GBK"/>
          <w:kern w:val="2"/>
          <w:sz w:val="32"/>
          <w:szCs w:val="32"/>
          <w:lang w:val="en-US" w:eastAsia="zh-CN" w:bidi="ar-SA"/>
        </w:rPr>
        <w:t>81.82</w:t>
      </w:r>
      <w:r>
        <w:rPr>
          <w:rFonts w:hint="eastAsia" w:ascii="方正仿宋_GBK" w:hAnsi="方正仿宋_GBK" w:eastAsia="方正仿宋_GBK" w:cs="方正仿宋_GBK"/>
          <w:kern w:val="2"/>
          <w:sz w:val="32"/>
          <w:szCs w:val="32"/>
          <w:lang w:val="zh-TW" w:eastAsia="zh-CN" w:bidi="ar-SA"/>
        </w:rPr>
        <w:t>万千瓦时，消耗纸张约</w:t>
      </w:r>
      <w:r>
        <w:rPr>
          <w:rFonts w:hint="eastAsia" w:ascii="方正仿宋_GBK" w:hAnsi="方正仿宋_GBK" w:eastAsia="方正仿宋_GBK" w:cs="方正仿宋_GBK"/>
          <w:kern w:val="2"/>
          <w:sz w:val="32"/>
          <w:szCs w:val="32"/>
          <w:lang w:val="en-US" w:eastAsia="zh-CN" w:bidi="ar-SA"/>
        </w:rPr>
        <w:t>7</w:t>
      </w:r>
      <w:r>
        <w:rPr>
          <w:rFonts w:hint="eastAsia" w:ascii="方正仿宋_GBK" w:hAnsi="方正仿宋_GBK" w:eastAsia="方正仿宋_GBK" w:cs="方正仿宋_GBK"/>
          <w:kern w:val="2"/>
          <w:sz w:val="32"/>
          <w:szCs w:val="32"/>
          <w:lang w:val="zh-TW" w:eastAsia="zh-CN" w:bidi="ar-SA"/>
        </w:rPr>
        <w:t>吨。推行无纸化办公，通过GOUP 系统、办公E点通、交融通等现代化传输手段，减少日常办公耗材消耗，将绿色低碳理念融入日常办公。优化行政印章审批系统，便利基层工作。启用签报功能，减少公文发文量及纸质消耗。优化亮化时间，自助银行照明灯光与LED标识定时远程遥控。空调等大功率用电设备在运行期间实现每日自动开关机，并根据实际室温自行调解办公场所空调温度。基建装修项目使用绿色环保的装修材料。公司客户授信申报已采取无纸化流程，减少了纸质传递时间并进一步体现绿色集约办公的理念，提升审批效率。开展“线上税融通”、“线上抵押贷”、“惠民贷”等线上业务,实现线上电子渠道操作，绿色方便快捷。</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0"/>
        <w:textAlignment w:val="auto"/>
        <w:rPr>
          <w:rFonts w:hint="eastAsia" w:ascii="仿宋_GB2312" w:hAnsi="仿宋_GB2312" w:eastAsia="仿宋_GB2312" w:cs="仿宋_GB2312"/>
          <w:b/>
          <w:kern w:val="2"/>
          <w:sz w:val="32"/>
          <w:szCs w:val="32"/>
          <w:u w:val="none" w:color="000000"/>
          <w:lang w:val="zh-TW"/>
        </w:rPr>
      </w:pPr>
      <w:r>
        <w:rPr>
          <w:rFonts w:hint="eastAsia" w:ascii="方正仿宋_GBK" w:hAnsi="方正仿宋_GBK" w:eastAsia="方正仿宋_GBK" w:cs="方正仿宋_GBK"/>
          <w:kern w:val="2"/>
          <w:sz w:val="32"/>
          <w:szCs w:val="32"/>
          <w:lang w:val="zh-TW" w:eastAsia="zh-CN" w:bidi="ar-SA"/>
        </w:rPr>
        <w:t>2019年，分行开展绿贷通、绿信通系统培训，参与人员包括经营单位负责人、客户经理等，涉及160余人次；开展绿色产品（线上抵押贷、线上税融通、快捷抵押贷、惠民贷等）相关业务推广培训，涉及约280余人次；本年度组织消费者权益、金融联合宣传教育等绿色金融相关公益活动，涉及外出宣传400余人次；参与文明城市劝导及落实路长制相关工作，涉及250人次；依托行内授信大讲堂、交银湖州学堂等持续加强绿色金融培训，涉及280余人次。上述培训宣传活动共计涉及1370余人次，较好地推动了分行绿色金融的开展，提升员工及社会大众环保意识。</w:t>
      </w:r>
    </w:p>
    <w:p>
      <w:pPr>
        <w:pStyle w:val="25"/>
        <w:rPr>
          <w:rFonts w:hint="eastAsia"/>
          <w:sz w:val="28"/>
          <w:szCs w:val="28"/>
          <w:lang w:val="zh-TW"/>
        </w:rPr>
      </w:pPr>
      <w:bookmarkStart w:id="46" w:name="_Toc7297"/>
      <w:r>
        <w:rPr>
          <w:rFonts w:hint="eastAsia"/>
          <w:sz w:val="28"/>
          <w:szCs w:val="28"/>
          <w:lang w:val="zh-TW"/>
        </w:rPr>
        <w:t>经营活动环境影响的计算</w:t>
      </w:r>
      <w:bookmarkEnd w:id="46"/>
    </w:p>
    <w:p>
      <w:pPr>
        <w:pStyle w:val="5"/>
        <w:keepNext w:val="0"/>
        <w:keepLines w:val="0"/>
        <w:pageBreakBefore w:val="0"/>
        <w:kinsoku/>
        <w:wordWrap/>
        <w:overflowPunct/>
        <w:topLinePunct w:val="0"/>
        <w:bidi w:val="0"/>
        <w:adjustRightInd/>
        <w:snapToGrid/>
        <w:spacing w:line="560" w:lineRule="exact"/>
        <w:ind w:left="0" w:leftChars="0" w:right="0" w:rightChars="0"/>
        <w:jc w:val="left"/>
        <w:textAlignment w:val="auto"/>
        <w:rPr>
          <w:rFonts w:hint="eastAsia" w:ascii="仿宋_GB2312" w:hAnsi="仿宋_GB2312" w:eastAsia="仿宋_GB2312" w:cs="仿宋_GB2312"/>
          <w:b/>
          <w:kern w:val="2"/>
          <w:sz w:val="32"/>
          <w:szCs w:val="32"/>
          <w:u w:val="none" w:color="000000"/>
          <w:lang w:val="zh-TW"/>
        </w:rPr>
      </w:pP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kern w:val="2"/>
          <w:sz w:val="32"/>
          <w:szCs w:val="32"/>
          <w:lang w:val="zh-TW" w:eastAsia="zh-CN" w:bidi="ar-SA"/>
        </w:rPr>
        <w:t>主要根据实际消耗的水、电用量、用纸箱数、单位车辆用油等进行折算。</w:t>
      </w:r>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zh-TW" w:eastAsia="zh-TW" w:bidi="ar-SA"/>
        </w:rPr>
        <w:t>表</w:t>
      </w:r>
      <w:r>
        <w:rPr>
          <w:rFonts w:hint="eastAsia" w:ascii="宋体" w:hAnsi="Calibri" w:eastAsia="宋体" w:cs="Times New Roman"/>
          <w:color w:val="auto"/>
          <w:kern w:val="2"/>
          <w:sz w:val="21"/>
          <w:szCs w:val="22"/>
          <w:u w:val="none" w:color="auto"/>
          <w:lang w:val="en-US" w:eastAsia="zh-CN" w:bidi="ar-SA"/>
        </w:rPr>
        <w:t xml:space="preserve">3. </w:t>
      </w:r>
      <w:r>
        <w:rPr>
          <w:rFonts w:hint="eastAsia" w:ascii="宋体" w:eastAsia="宋体" w:cs="Times New Roman"/>
          <w:color w:val="auto"/>
          <w:kern w:val="0"/>
          <w:sz w:val="21"/>
          <w:szCs w:val="20"/>
          <w:u w:val="none" w:color="auto"/>
          <w:lang w:val="zh-TW" w:eastAsia="zh-CN" w:bidi="ar-SA"/>
        </w:rPr>
        <w:t>金融</w:t>
      </w:r>
      <w:r>
        <w:rPr>
          <w:rFonts w:hint="eastAsia" w:ascii="宋体" w:hAnsi="Calibri" w:eastAsia="宋体" w:cs="Times New Roman"/>
          <w:color w:val="auto"/>
          <w:kern w:val="2"/>
          <w:sz w:val="21"/>
          <w:szCs w:val="22"/>
          <w:u w:val="none" w:color="auto"/>
          <w:lang w:val="zh-TW" w:eastAsia="zh-CN" w:bidi="ar-SA"/>
        </w:rPr>
        <w:t>机构</w:t>
      </w:r>
      <w:r>
        <w:rPr>
          <w:rFonts w:hint="eastAsia" w:ascii="宋体" w:hAnsi="Calibri" w:eastAsia="宋体" w:cs="Times New Roman"/>
          <w:color w:val="auto"/>
          <w:kern w:val="2"/>
          <w:sz w:val="21"/>
          <w:szCs w:val="22"/>
          <w:u w:val="none" w:color="auto"/>
          <w:lang w:val="zh-TW" w:eastAsia="zh-TW" w:bidi="ar-SA"/>
        </w:rPr>
        <w:t>经营活动对环境产生的影响</w:t>
      </w:r>
    </w:p>
    <w:tbl>
      <w:tblPr>
        <w:tblStyle w:val="19"/>
        <w:tblW w:w="865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3020"/>
        <w:gridCol w:w="3930"/>
        <w:gridCol w:w="850"/>
        <w:gridCol w:w="8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Ex>
        <w:trPr>
          <w:trHeight w:val="409" w:hRule="atLeast"/>
          <w:jc w:val="center"/>
        </w:trPr>
        <w:tc>
          <w:tcPr>
            <w:tcW w:w="302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CN" w:bidi="ar-SA"/>
              </w:rPr>
              <w:t>指标名称</w:t>
            </w: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CN" w:bidi="ar-SA"/>
              </w:rPr>
              <w:t>披露细项</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CN" w:bidi="ar-SA"/>
              </w:rPr>
              <w:t>总量</w:t>
            </w:r>
          </w:p>
        </w:tc>
        <w:tc>
          <w:tcPr>
            <w:tcW w:w="851"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CN" w:bidi="ar-SA"/>
              </w:rPr>
              <w:t>人均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3020" w:type="dxa"/>
            <w:vMerge w:val="restart"/>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zh-TW" w:eastAsia="zh-TW" w:bidi="ar-SA"/>
              </w:rPr>
              <w:t>经营活动直接产生的温室气体排放和自然资源消耗</w:t>
            </w: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zh-TW" w:eastAsia="zh-CN" w:bidi="ar-SA"/>
              </w:rPr>
              <w:t>机构</w:t>
            </w:r>
            <w:r>
              <w:rPr>
                <w:rFonts w:hint="eastAsia" w:ascii="宋体" w:hAnsi="Calibri" w:eastAsia="宋体" w:cs="Times New Roman"/>
                <w:color w:val="auto"/>
                <w:kern w:val="2"/>
                <w:sz w:val="21"/>
                <w:szCs w:val="22"/>
                <w:highlight w:val="none"/>
                <w:u w:val="none" w:color="auto"/>
                <w:lang w:val="zh-TW" w:eastAsia="zh-TW" w:bidi="ar-SA"/>
              </w:rPr>
              <w:t>自有交通运输工具所消耗的燃油</w:t>
            </w:r>
            <w:r>
              <w:rPr>
                <w:rFonts w:hint="eastAsia" w:ascii="宋体" w:hAnsi="Calibri" w:eastAsia="宋体" w:cs="Times New Roman"/>
                <w:color w:val="auto"/>
                <w:szCs w:val="22"/>
                <w:highlight w:val="none"/>
                <w:u w:val="none" w:color="auto"/>
                <w:lang w:val="zh-TW"/>
              </w:rPr>
              <w:t>。</w:t>
            </w:r>
            <w:r>
              <w:rPr>
                <w:rFonts w:hint="eastAsia" w:ascii="宋体" w:hAnsi="Calibri" w:eastAsia="宋体" w:cs="Times New Roman"/>
                <w:color w:val="auto"/>
                <w:kern w:val="2"/>
                <w:sz w:val="21"/>
                <w:szCs w:val="22"/>
                <w:highlight w:val="none"/>
                <w:u w:val="none" w:color="auto"/>
                <w:lang w:val="zh-TW" w:eastAsia="zh-CN" w:bidi="ar-SA"/>
              </w:rPr>
              <w:t>（升）</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en-US" w:eastAsia="zh-CN" w:bidi="ar-SA"/>
              </w:rPr>
              <w:t>22000</w:t>
            </w:r>
          </w:p>
        </w:tc>
        <w:tc>
          <w:tcPr>
            <w:tcW w:w="851"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75.86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3020" w:type="dxa"/>
            <w:vMerge w:val="continue"/>
            <w:tcBorders>
              <w:tl2br w:val="nil"/>
              <w:tr2bl w:val="nil"/>
            </w:tcBorders>
            <w:shd w:val="clear" w:color="auto" w:fill="auto"/>
            <w:vAlign w:val="top"/>
          </w:tcPr>
          <w:p>
            <w:pPr>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hAnsi="Calibri" w:eastAsia="宋体" w:cs="Times New Roman"/>
                <w:color w:val="auto"/>
                <w:kern w:val="2"/>
                <w:sz w:val="21"/>
                <w:szCs w:val="22"/>
                <w:highlight w:val="none"/>
                <w:u w:val="none" w:color="auto"/>
                <w:lang w:val="en-US" w:eastAsia="zh-CN" w:bidi="ar-SA"/>
              </w:rPr>
            </w:pP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zh-TW" w:eastAsia="zh-TW" w:bidi="ar-SA"/>
              </w:rPr>
              <w:t>营业、办公活动所消耗的水</w:t>
            </w:r>
            <w:r>
              <w:rPr>
                <w:rFonts w:hint="eastAsia" w:ascii="宋体" w:hAnsi="Calibri" w:eastAsia="宋体" w:cs="Times New Roman"/>
                <w:color w:val="auto"/>
                <w:kern w:val="2"/>
                <w:sz w:val="21"/>
                <w:szCs w:val="22"/>
                <w:highlight w:val="none"/>
                <w:u w:val="none" w:color="auto"/>
                <w:lang w:val="zh-TW" w:eastAsia="zh-CN" w:bidi="ar-SA"/>
              </w:rPr>
              <w:t>（</w:t>
            </w:r>
            <w:r>
              <w:rPr>
                <w:rFonts w:hint="eastAsia" w:ascii="宋体" w:hAnsi="Calibri" w:eastAsia="宋体" w:cs="Times New Roman"/>
                <w:color w:val="auto"/>
                <w:kern w:val="2"/>
                <w:sz w:val="21"/>
                <w:szCs w:val="22"/>
                <w:highlight w:val="none"/>
                <w:u w:val="none" w:color="auto"/>
                <w:lang w:val="en-US" w:eastAsia="zh-CN" w:bidi="ar-SA"/>
              </w:rPr>
              <w:t>吨</w:t>
            </w:r>
            <w:r>
              <w:rPr>
                <w:rFonts w:hint="eastAsia" w:ascii="宋体" w:hAnsi="Calibri" w:eastAsia="宋体" w:cs="Times New Roman"/>
                <w:color w:val="auto"/>
                <w:kern w:val="2"/>
                <w:sz w:val="21"/>
                <w:szCs w:val="22"/>
                <w:highlight w:val="none"/>
                <w:u w:val="none" w:color="auto"/>
                <w:lang w:val="zh-TW" w:eastAsia="zh-CN" w:bidi="ar-SA"/>
              </w:rPr>
              <w:t>）</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en-US" w:eastAsia="zh-CN" w:bidi="ar-SA"/>
              </w:rPr>
              <w:t>18561</w:t>
            </w:r>
          </w:p>
        </w:tc>
        <w:tc>
          <w:tcPr>
            <w:tcW w:w="851"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64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3020" w:type="dxa"/>
            <w:vMerge w:val="restart"/>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zh-TW" w:eastAsia="zh-TW" w:bidi="ar-SA"/>
              </w:rPr>
            </w:pPr>
            <w:r>
              <w:rPr>
                <w:rFonts w:hint="eastAsia" w:ascii="宋体" w:hAnsi="Calibri" w:eastAsia="宋体" w:cs="Times New Roman"/>
                <w:color w:val="auto"/>
                <w:kern w:val="2"/>
                <w:sz w:val="21"/>
                <w:szCs w:val="22"/>
                <w:highlight w:val="none"/>
                <w:u w:val="none" w:color="auto"/>
                <w:lang w:val="zh-TW" w:eastAsia="zh-TW" w:bidi="ar-SA"/>
              </w:rPr>
              <w:t>采购的产品或服务所产生的间接温室气体排放和间接自然资源消耗</w:t>
            </w:r>
          </w:p>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zh-TW" w:eastAsia="zh-TW" w:bidi="ar-SA"/>
              </w:rPr>
              <w:t>营业、办公所消耗的电力</w:t>
            </w:r>
            <w:r>
              <w:rPr>
                <w:rFonts w:hint="eastAsia" w:ascii="宋体" w:hAnsi="Calibri" w:eastAsia="宋体" w:cs="Times New Roman"/>
                <w:color w:val="auto"/>
                <w:kern w:val="2"/>
                <w:sz w:val="21"/>
                <w:szCs w:val="22"/>
                <w:highlight w:val="none"/>
                <w:u w:val="none" w:color="auto"/>
                <w:lang w:val="zh-TW" w:eastAsia="zh-CN" w:bidi="ar-SA"/>
              </w:rPr>
              <w:t>（千瓦时）</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en-US" w:eastAsia="zh-CN" w:bidi="ar-SA"/>
              </w:rPr>
              <w:t>818200</w:t>
            </w:r>
          </w:p>
        </w:tc>
        <w:tc>
          <w:tcPr>
            <w:tcW w:w="851"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2821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3020" w:type="dxa"/>
            <w:vMerge w:val="continue"/>
            <w:tcBorders>
              <w:tl2br w:val="nil"/>
              <w:tr2bl w:val="nil"/>
            </w:tcBorders>
            <w:shd w:val="clear" w:color="auto" w:fill="auto"/>
            <w:vAlign w:val="top"/>
          </w:tcPr>
          <w:p>
            <w:pPr>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hAnsi="Calibri" w:eastAsia="宋体" w:cs="Times New Roman"/>
                <w:color w:val="auto"/>
                <w:kern w:val="2"/>
                <w:sz w:val="21"/>
                <w:szCs w:val="22"/>
                <w:highlight w:val="none"/>
                <w:u w:val="none" w:color="auto"/>
                <w:lang w:val="en-US" w:eastAsia="zh-CN" w:bidi="ar-SA"/>
              </w:rPr>
            </w:pP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zh-TW" w:eastAsia="zh-TW" w:bidi="ar-SA"/>
              </w:rPr>
              <w:t>营业、办公所使用的纸张</w:t>
            </w:r>
            <w:r>
              <w:rPr>
                <w:rFonts w:hint="eastAsia" w:ascii="宋体" w:hAnsi="Calibri" w:eastAsia="宋体" w:cs="Times New Roman"/>
                <w:color w:val="auto"/>
                <w:kern w:val="2"/>
                <w:sz w:val="21"/>
                <w:szCs w:val="22"/>
                <w:highlight w:val="none"/>
                <w:u w:val="none" w:color="auto"/>
                <w:lang w:val="zh-TW" w:eastAsia="zh-CN" w:bidi="ar-SA"/>
              </w:rPr>
              <w:t>（</w:t>
            </w:r>
            <w:r>
              <w:rPr>
                <w:rFonts w:hint="eastAsia" w:ascii="宋体" w:hAnsi="Calibri" w:eastAsia="宋体" w:cs="Times New Roman"/>
                <w:color w:val="auto"/>
                <w:kern w:val="2"/>
                <w:sz w:val="21"/>
                <w:szCs w:val="22"/>
                <w:highlight w:val="none"/>
                <w:u w:val="none" w:color="auto"/>
                <w:lang w:val="en-US" w:eastAsia="zh-CN" w:bidi="ar-SA"/>
              </w:rPr>
              <w:t>吨</w:t>
            </w:r>
            <w:r>
              <w:rPr>
                <w:rFonts w:hint="eastAsia" w:ascii="宋体" w:hAnsi="Calibri" w:eastAsia="宋体" w:cs="Times New Roman"/>
                <w:color w:val="auto"/>
                <w:kern w:val="2"/>
                <w:sz w:val="21"/>
                <w:szCs w:val="22"/>
                <w:highlight w:val="none"/>
                <w:u w:val="none" w:color="auto"/>
                <w:lang w:val="zh-TW" w:eastAsia="zh-CN" w:bidi="ar-SA"/>
              </w:rPr>
              <w:t>）</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none"/>
                <w:u w:val="none" w:color="auto"/>
                <w:lang w:val="en-US" w:eastAsia="zh-CN" w:bidi="ar-SA"/>
              </w:rPr>
            </w:pPr>
            <w:r>
              <w:rPr>
                <w:rFonts w:hint="eastAsia" w:ascii="宋体" w:hAnsi="Calibri" w:eastAsia="宋体" w:cs="Times New Roman"/>
                <w:color w:val="auto"/>
                <w:kern w:val="2"/>
                <w:sz w:val="21"/>
                <w:szCs w:val="22"/>
                <w:highlight w:val="none"/>
                <w:u w:val="none" w:color="auto"/>
                <w:lang w:val="en-US" w:eastAsia="zh-CN" w:bidi="ar-SA"/>
              </w:rPr>
              <w:t>7</w:t>
            </w:r>
          </w:p>
        </w:tc>
        <w:tc>
          <w:tcPr>
            <w:tcW w:w="851"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0.024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3020" w:type="dxa"/>
            <w:tcBorders>
              <w:tl2br w:val="nil"/>
              <w:tr2bl w:val="nil"/>
            </w:tcBorders>
            <w:shd w:val="clear" w:color="auto" w:fill="auto"/>
            <w:vAlign w:val="top"/>
          </w:tcPr>
          <w:p>
            <w:pPr>
              <w:keepNext w:val="0"/>
              <w:keepLines w:val="0"/>
              <w:pageBreakBefore w:val="0"/>
              <w:kinsoku/>
              <w:wordWrap/>
              <w:overflowPunct/>
              <w:topLinePunct w:val="0"/>
              <w:bidi w:val="0"/>
              <w:adjustRightInd/>
              <w:snapToGrid/>
              <w:spacing w:line="560" w:lineRule="exact"/>
              <w:ind w:left="0" w:leftChars="0" w:right="0" w:rightChars="0"/>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金融机构环保措施所产生的效果</w:t>
            </w:r>
          </w:p>
        </w:tc>
        <w:tc>
          <w:tcPr>
            <w:tcW w:w="3930"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TW" w:bidi="ar-SA"/>
              </w:rPr>
              <w:t>为提升员工及社会大众的环保意识所举办的培训活动或公益活动</w:t>
            </w:r>
            <w:r>
              <w:rPr>
                <w:rFonts w:hint="eastAsia" w:ascii="宋体" w:hAnsi="Calibri" w:eastAsia="宋体" w:cs="Times New Roman"/>
                <w:color w:val="auto"/>
                <w:kern w:val="2"/>
                <w:sz w:val="21"/>
                <w:szCs w:val="22"/>
                <w:u w:val="none" w:color="auto"/>
                <w:lang w:val="zh-TW" w:eastAsia="zh-CN" w:bidi="ar-SA"/>
              </w:rPr>
              <w:t>（人次）</w:t>
            </w:r>
          </w:p>
        </w:tc>
        <w:tc>
          <w:tcPr>
            <w:tcW w:w="850"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en-US" w:eastAsia="zh-CN" w:bidi="ar-SA"/>
              </w:rPr>
              <w:t>1370</w:t>
            </w:r>
          </w:p>
        </w:tc>
        <w:tc>
          <w:tcPr>
            <w:tcW w:w="851" w:type="dxa"/>
            <w:tcBorders>
              <w:tl2br w:val="nil"/>
              <w:tr2bl w:val="nil"/>
            </w:tcBorders>
            <w:shd w:val="clear" w:color="auto" w:fill="A6A6A6"/>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highlight w:val="lightGray"/>
                <w:u w:val="none" w:color="auto"/>
                <w:lang w:val="zh-TW" w:eastAsia="zh-CN" w:bidi="ar-SA"/>
              </w:rPr>
            </w:pPr>
          </w:p>
        </w:tc>
      </w:tr>
    </w:tbl>
    <w:p>
      <w:pPr>
        <w:pStyle w:val="27"/>
        <w:rPr>
          <w:rFonts w:hint="eastAsia"/>
          <w:lang w:val="en-US" w:eastAsia="zh-CN"/>
        </w:rPr>
      </w:pPr>
      <w:bookmarkStart w:id="47" w:name="_Toc30292"/>
      <w:r>
        <w:rPr>
          <w:rFonts w:hint="eastAsia"/>
          <w:sz w:val="32"/>
          <w:szCs w:val="32"/>
          <w:lang w:val="en-US" w:eastAsia="zh-CN"/>
        </w:rPr>
        <w:t>投融资活动的环境影响</w:t>
      </w:r>
      <w:bookmarkEnd w:id="47"/>
    </w:p>
    <w:p>
      <w:pPr>
        <w:pStyle w:val="25"/>
        <w:rPr>
          <w:rFonts w:hint="eastAsia"/>
          <w:sz w:val="28"/>
          <w:szCs w:val="28"/>
          <w:lang w:val="zh-TW" w:eastAsia="zh-CN"/>
        </w:rPr>
      </w:pPr>
      <w:bookmarkStart w:id="48" w:name="_Toc2983"/>
      <w:r>
        <w:rPr>
          <w:rFonts w:hint="eastAsia"/>
          <w:sz w:val="28"/>
          <w:szCs w:val="28"/>
          <w:lang w:val="zh-TW" w:eastAsia="zh-CN"/>
        </w:rPr>
        <w:t>本机构投融资所产生的环境影响</w:t>
      </w:r>
      <w:bookmarkEnd w:id="48"/>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firstLine="422" w:firstLineChars="200"/>
        <w:textAlignment w:val="auto"/>
        <w:rPr>
          <w:rFonts w:hint="eastAsia" w:ascii="方正仿宋_GBK" w:hAnsi="方正仿宋_GBK" w:eastAsia="方正仿宋_GBK" w:cs="方正仿宋_GBK"/>
          <w:kern w:val="2"/>
          <w:sz w:val="32"/>
          <w:szCs w:val="32"/>
          <w:lang w:val="zh-TW" w:eastAsia="zh-CN" w:bidi="ar-SA"/>
        </w:rPr>
      </w:pPr>
      <w:r>
        <w:rPr>
          <w:rFonts w:hint="eastAsia" w:ascii="方正仿宋_GBK" w:hAnsi="方正仿宋_GBK" w:eastAsia="方正仿宋_GBK" w:cs="方正仿宋_GBK"/>
          <w:kern w:val="2"/>
          <w:sz w:val="32"/>
          <w:szCs w:val="32"/>
          <w:lang w:val="zh-TW" w:eastAsia="zh-CN" w:bidi="ar-SA"/>
        </w:rPr>
        <w:t>湖州交行授信额度在5000万元以上的绿色项目</w:t>
      </w:r>
      <w:r>
        <w:rPr>
          <w:rFonts w:hint="eastAsia" w:ascii="方正仿宋_GBK" w:hAnsi="方正仿宋_GBK" w:eastAsia="方正仿宋_GBK" w:cs="方正仿宋_GBK"/>
          <w:kern w:val="2"/>
          <w:sz w:val="32"/>
          <w:szCs w:val="32"/>
          <w:lang w:val="en-US" w:eastAsia="zh-CN" w:bidi="ar-SA"/>
        </w:rPr>
        <w:t>8</w:t>
      </w:r>
      <w:r>
        <w:rPr>
          <w:rFonts w:hint="eastAsia" w:ascii="方正仿宋_GBK" w:hAnsi="方正仿宋_GBK" w:eastAsia="方正仿宋_GBK" w:cs="方正仿宋_GBK"/>
          <w:kern w:val="2"/>
          <w:sz w:val="32"/>
          <w:szCs w:val="32"/>
          <w:lang w:val="zh-TW" w:eastAsia="zh-CN" w:bidi="ar-SA"/>
        </w:rPr>
        <w:t>个，</w:t>
      </w:r>
      <w:r>
        <w:rPr>
          <w:rFonts w:hint="eastAsia" w:ascii="方正仿宋_GBK" w:hAnsi="方正仿宋_GBK" w:eastAsia="方正仿宋_GBK" w:cs="方正仿宋_GBK"/>
          <w:kern w:val="2"/>
          <w:sz w:val="32"/>
          <w:szCs w:val="32"/>
          <w:lang w:val="en-US" w:eastAsia="zh-CN" w:bidi="ar-SA"/>
        </w:rPr>
        <w:t>2019年末</w:t>
      </w:r>
      <w:r>
        <w:rPr>
          <w:rFonts w:hint="eastAsia" w:ascii="方正仿宋_GBK" w:hAnsi="方正仿宋_GBK" w:eastAsia="方正仿宋_GBK" w:cs="方正仿宋_GBK"/>
          <w:kern w:val="2"/>
          <w:sz w:val="32"/>
          <w:szCs w:val="32"/>
          <w:lang w:val="zh-TW" w:eastAsia="zh-CN" w:bidi="ar-SA"/>
        </w:rPr>
        <w:t>贷款余额</w:t>
      </w:r>
      <w:r>
        <w:rPr>
          <w:rFonts w:hint="eastAsia" w:ascii="方正仿宋_GBK" w:hAnsi="方正仿宋_GBK" w:eastAsia="方正仿宋_GBK" w:cs="方正仿宋_GBK"/>
          <w:kern w:val="2"/>
          <w:sz w:val="32"/>
          <w:szCs w:val="32"/>
          <w:lang w:val="en-US" w:eastAsia="zh-CN" w:bidi="ar-SA"/>
        </w:rPr>
        <w:t>31.57</w:t>
      </w:r>
      <w:r>
        <w:rPr>
          <w:rFonts w:hint="eastAsia" w:ascii="方正仿宋_GBK" w:hAnsi="方正仿宋_GBK" w:eastAsia="方正仿宋_GBK" w:cs="方正仿宋_GBK"/>
          <w:kern w:val="2"/>
          <w:sz w:val="32"/>
          <w:szCs w:val="32"/>
          <w:lang w:val="zh-TW" w:eastAsia="zh-CN" w:bidi="ar-SA"/>
        </w:rPr>
        <w:t>亿元，主要投向“五水共治”、绿色建筑、热电联产、太阳能发电等领域，进一步实现节水、减排等环境有利影响。报告期内，分行新增发放绿色建筑贷款</w:t>
      </w:r>
      <w:r>
        <w:rPr>
          <w:rFonts w:hint="eastAsia" w:ascii="方正仿宋_GBK" w:hAnsi="方正仿宋_GBK" w:eastAsia="方正仿宋_GBK" w:cs="方正仿宋_GBK"/>
          <w:kern w:val="2"/>
          <w:sz w:val="32"/>
          <w:szCs w:val="32"/>
          <w:lang w:val="en-US" w:eastAsia="zh-CN" w:bidi="ar-SA"/>
        </w:rPr>
        <w:t>10亿元，在金融支持绿色建筑方面取得突破。</w:t>
      </w:r>
    </w:p>
    <w:p>
      <w:pPr>
        <w:pStyle w:val="25"/>
        <w:rPr>
          <w:rFonts w:hint="eastAsia"/>
          <w:lang w:val="zh-TW" w:eastAsia="zh-CN"/>
        </w:rPr>
      </w:pPr>
      <w:bookmarkStart w:id="49" w:name="_Toc252"/>
      <w:r>
        <w:rPr>
          <w:rFonts w:hint="eastAsia"/>
          <w:sz w:val="28"/>
          <w:szCs w:val="28"/>
          <w:lang w:val="zh-TW" w:eastAsia="zh-CN"/>
        </w:rPr>
        <w:t>本机构投融资环境影响的测算与表达</w:t>
      </w:r>
      <w:bookmarkEnd w:id="49"/>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firstLine="422" w:firstLineChars="200"/>
        <w:textAlignment w:val="auto"/>
      </w:pPr>
      <w:r>
        <w:rPr>
          <w:rFonts w:hint="eastAsia" w:ascii="方正仿宋_GBK" w:hAnsi="方正仿宋_GBK" w:eastAsia="方正仿宋_GBK" w:cs="方正仿宋_GBK"/>
          <w:kern w:val="2"/>
          <w:sz w:val="32"/>
          <w:szCs w:val="32"/>
          <w:lang w:val="zh-TW" w:eastAsia="zh-CN" w:bidi="ar-SA"/>
        </w:rPr>
        <w:t>投融资环境影响量化测算主要根据项目立项批复文件、项目可行性研究报告或项目环评报告中的节能减排种类和相应数据进行测算。对节能减排量等环境效益</w:t>
      </w:r>
      <w:r>
        <w:rPr>
          <w:rFonts w:hint="eastAsia" w:ascii="方正仿宋_GBK" w:hAnsi="方正仿宋_GBK" w:eastAsia="方正仿宋_GBK" w:cs="方正仿宋_GBK"/>
          <w:kern w:val="2"/>
          <w:sz w:val="32"/>
          <w:szCs w:val="32"/>
          <w:highlight w:val="none"/>
          <w:lang w:val="zh-TW" w:eastAsia="zh-CN" w:bidi="ar-SA"/>
        </w:rPr>
        <w:t>指标的计算评估，有利于实现金融推动地方经济绿色发展的可视化，量化绿色信贷对生态环境的促进作用。</w:t>
      </w:r>
    </w:p>
    <w:p>
      <w:pPr>
        <w:pStyle w:val="5"/>
        <w:keepNext w:val="0"/>
        <w:keepLines w:val="0"/>
        <w:pageBreakBefore w:val="0"/>
        <w:tabs>
          <w:tab w:val="left" w:pos="949"/>
        </w:tabs>
        <w:kinsoku/>
        <w:wordWrap/>
        <w:overflowPunct/>
        <w:topLinePunct w:val="0"/>
        <w:bidi w:val="0"/>
        <w:adjustRightInd/>
        <w:snapToGrid/>
        <w:spacing w:line="560" w:lineRule="exact"/>
        <w:ind w:left="0" w:leftChars="0" w:right="0" w:rightChars="0"/>
        <w:jc w:val="center"/>
        <w:textAlignment w:val="auto"/>
        <w:rPr>
          <w:rFonts w:hint="eastAsia" w:ascii="宋体" w:hAnsi="Calibri" w:eastAsia="宋体" w:cs="Times New Roman"/>
          <w:color w:val="auto"/>
          <w:kern w:val="2"/>
          <w:sz w:val="21"/>
          <w:szCs w:val="22"/>
          <w:u w:val="none" w:color="auto"/>
          <w:lang w:val="en-US" w:eastAsia="zh-CN" w:bidi="ar-SA"/>
        </w:rPr>
      </w:pPr>
      <w:r>
        <w:rPr>
          <w:rFonts w:hint="eastAsia" w:ascii="宋体" w:hAnsi="Calibri" w:eastAsia="宋体" w:cs="Times New Roman"/>
          <w:color w:val="auto"/>
          <w:kern w:val="2"/>
          <w:sz w:val="21"/>
          <w:szCs w:val="22"/>
          <w:u w:val="none" w:color="auto"/>
          <w:lang w:val="zh-TW" w:eastAsia="zh-TW" w:bidi="ar-SA"/>
        </w:rPr>
        <w:t>表</w:t>
      </w:r>
      <w:r>
        <w:rPr>
          <w:rFonts w:hint="eastAsia" w:ascii="宋体" w:hAnsi="Calibri" w:eastAsia="宋体" w:cs="Times New Roman"/>
          <w:color w:val="auto"/>
          <w:kern w:val="2"/>
          <w:sz w:val="21"/>
          <w:szCs w:val="22"/>
          <w:u w:val="none" w:color="auto"/>
          <w:lang w:val="en-US" w:eastAsia="zh-CN" w:bidi="ar-SA"/>
        </w:rPr>
        <w:t xml:space="preserve">4. </w:t>
      </w:r>
      <w:r>
        <w:rPr>
          <w:rFonts w:hint="eastAsia" w:ascii="宋体" w:hAnsi="Calibri" w:eastAsia="宋体" w:cs="Times New Roman"/>
          <w:color w:val="auto"/>
          <w:kern w:val="2"/>
          <w:sz w:val="21"/>
          <w:szCs w:val="22"/>
          <w:u w:val="none" w:color="auto"/>
          <w:lang w:val="zh-TW" w:eastAsia="zh-CN" w:bidi="ar-SA"/>
        </w:rPr>
        <w:t>金融机构</w:t>
      </w:r>
      <w:r>
        <w:rPr>
          <w:rFonts w:hint="eastAsia" w:ascii="宋体" w:hAnsi="Calibri" w:eastAsia="宋体" w:cs="Times New Roman"/>
          <w:color w:val="auto"/>
          <w:kern w:val="2"/>
          <w:sz w:val="21"/>
          <w:szCs w:val="22"/>
          <w:u w:val="none" w:color="auto"/>
          <w:lang w:val="zh-TW" w:eastAsia="zh-TW" w:bidi="ar-SA"/>
        </w:rPr>
        <w:t>投融资对环境产生的影响</w:t>
      </w:r>
    </w:p>
    <w:tbl>
      <w:tblPr>
        <w:tblStyle w:val="19"/>
        <w:tblW w:w="779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
      <w:tblGrid>
        <w:gridCol w:w="2399"/>
        <w:gridCol w:w="3686"/>
        <w:gridCol w:w="1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7E7"/>
          <w:tblLayout w:type="fixed"/>
          <w:tblCellMar>
            <w:top w:w="0" w:type="dxa"/>
            <w:left w:w="108" w:type="dxa"/>
            <w:bottom w:w="0" w:type="dxa"/>
            <w:right w:w="108" w:type="dxa"/>
          </w:tblCellMar>
        </w:tblPrEx>
        <w:trPr>
          <w:trHeight w:val="409" w:hRule="atLeast"/>
          <w:jc w:val="center"/>
        </w:trPr>
        <w:tc>
          <w:tcPr>
            <w:tcW w:w="2399"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指标名称</w:t>
            </w: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披露细项</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2399" w:type="dxa"/>
            <w:vMerge w:val="restart"/>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绿色信贷余额及占比</w:t>
            </w: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绿色信贷余额</w:t>
            </w:r>
            <w:r>
              <w:rPr>
                <w:rFonts w:hint="eastAsia" w:ascii="宋体" w:hAnsi="Calibri" w:eastAsia="宋体" w:cs="Times New Roman"/>
                <w:color w:val="auto"/>
                <w:kern w:val="2"/>
                <w:sz w:val="21"/>
                <w:szCs w:val="22"/>
                <w:u w:val="none" w:color="auto"/>
                <w:lang w:val="zh-TW" w:eastAsia="zh-CN" w:bidi="ar-SA"/>
              </w:rPr>
              <w:t>（万元）</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lang w:val="en-US" w:eastAsia="zh-CN"/>
              </w:rPr>
              <w:t>347061.24</w:t>
            </w:r>
            <w:r>
              <w:rPr>
                <w:rFonts w:hint="eastAsia" w:ascii="仿宋_GB2312" w:hAnsi="仿宋_GB2312" w:eastAsia="仿宋_GB2312" w:cs="仿宋_GB2312"/>
                <w:color w:val="auto"/>
                <w:sz w:val="22"/>
                <w:szCs w:val="22"/>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CN" w:bidi="ar-SA"/>
              </w:rPr>
            </w:pPr>
            <w:r>
              <w:rPr>
                <w:rFonts w:hint="eastAsia" w:ascii="宋体" w:hAnsi="Calibri" w:eastAsia="宋体" w:cs="Times New Roman"/>
                <w:color w:val="auto"/>
                <w:kern w:val="2"/>
                <w:sz w:val="21"/>
                <w:szCs w:val="22"/>
                <w:u w:val="none" w:color="auto"/>
                <w:lang w:val="zh-TW" w:eastAsia="zh-CN" w:bidi="ar-SA"/>
              </w:rPr>
              <w:t>各项贷款余额（万元）</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en-US" w:eastAsia="zh-CN" w:bidi="ar-SA"/>
              </w:rPr>
            </w:pPr>
            <w:r>
              <w:rPr>
                <w:rFonts w:hint="eastAsia" w:ascii="仿宋_GB2312" w:hAnsi="仿宋_GB2312" w:eastAsia="仿宋_GB2312" w:cs="仿宋_GB2312"/>
                <w:color w:val="auto"/>
                <w:sz w:val="22"/>
                <w:szCs w:val="22"/>
                <w:lang w:val="en-US" w:eastAsia="zh-CN"/>
              </w:rPr>
              <w:t>1313305万元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绿色信贷占比</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lang w:val="en-US" w:eastAsia="zh-CN"/>
              </w:rPr>
              <w:t>26.43</w:t>
            </w:r>
            <w:r>
              <w:rPr>
                <w:rFonts w:hint="eastAsia" w:ascii="仿宋_GB2312" w:hAnsi="仿宋_GB2312" w:eastAsia="仿宋_GB2312" w:cs="仿宋_GB2312"/>
                <w:color w:val="auto"/>
                <w:sz w:val="22"/>
                <w:szCs w:val="22"/>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restart"/>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绿色信贷金额变动折合减排情况</w:t>
            </w: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折合减排标准煤</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ascii="仿宋_GB2312" w:hAnsi="仿宋_GB2312" w:eastAsia="仿宋_GB2312" w:cs="仿宋_GB2312"/>
                <w:color w:val="auto"/>
                <w:sz w:val="22"/>
                <w:szCs w:val="22"/>
              </w:rPr>
              <w:t>514900.08</w:t>
            </w:r>
            <w:r>
              <w:rPr>
                <w:rFonts w:hint="eastAsia" w:ascii="仿宋_GB2312" w:hAnsi="仿宋_GB2312" w:eastAsia="仿宋_GB2312" w:cs="仿宋_GB2312"/>
                <w:color w:val="auto"/>
                <w:sz w:val="22"/>
                <w:szCs w:val="22"/>
              </w:rPr>
              <w:t>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折合减排二氧化碳当量</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ascii="仿宋_GB2312" w:hAnsi="仿宋_GB2312" w:eastAsia="仿宋_GB2312" w:cs="仿宋_GB2312"/>
                <w:color w:val="auto"/>
                <w:sz w:val="22"/>
                <w:szCs w:val="22"/>
              </w:rPr>
              <w:t>1137929.18</w:t>
            </w:r>
            <w:r>
              <w:rPr>
                <w:rFonts w:hint="eastAsia" w:ascii="仿宋_GB2312" w:hAnsi="仿宋_GB2312" w:eastAsia="仿宋_GB2312" w:cs="仿宋_GB2312"/>
                <w:color w:val="auto"/>
                <w:sz w:val="22"/>
                <w:szCs w:val="22"/>
              </w:rPr>
              <w:t>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折合减排氨氮</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rPr>
              <w:t>0.4吨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折合减排二氧化硫</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rPr>
              <w:t>17.39吨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折合减排氮氧化物</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rPr>
              <w:t>199.59吨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399" w:type="dxa"/>
            <w:vMerge w:val="continue"/>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p>
        </w:tc>
        <w:tc>
          <w:tcPr>
            <w:tcW w:w="3686" w:type="dxa"/>
            <w:tcBorders>
              <w:tl2br w:val="nil"/>
              <w:tr2bl w:val="nil"/>
            </w:tcBorders>
            <w:shd w:val="clear" w:color="auto" w:fill="auto"/>
            <w:tcMar>
              <w:top w:w="80" w:type="dxa"/>
              <w:left w:w="80" w:type="dxa"/>
              <w:bottom w:w="80" w:type="dxa"/>
              <w:right w:w="80" w:type="dxa"/>
            </w:tcMar>
            <w:vAlign w:val="center"/>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宋体" w:hAnsi="Calibri" w:eastAsia="宋体" w:cs="Times New Roman"/>
                <w:color w:val="auto"/>
                <w:kern w:val="2"/>
                <w:sz w:val="21"/>
                <w:szCs w:val="22"/>
                <w:u w:val="none" w:color="auto"/>
                <w:lang w:val="zh-TW" w:eastAsia="zh-TW" w:bidi="ar-SA"/>
              </w:rPr>
              <w:t>折合节水</w:t>
            </w:r>
            <w:r>
              <w:rPr>
                <w:rFonts w:hint="eastAsia" w:ascii="宋体" w:hAnsi="Calibri" w:eastAsia="宋体" w:cs="Times New Roman"/>
                <w:color w:val="auto"/>
                <w:kern w:val="2"/>
                <w:sz w:val="21"/>
                <w:szCs w:val="22"/>
                <w:u w:val="none" w:color="auto"/>
                <w:lang w:val="zh-TW" w:eastAsia="zh-CN" w:bidi="ar-SA"/>
              </w:rPr>
              <w:t>（</w:t>
            </w:r>
            <w:r>
              <w:rPr>
                <w:rFonts w:hint="eastAsia" w:ascii="宋体" w:hAnsi="Calibri" w:eastAsia="宋体" w:cs="Times New Roman"/>
                <w:color w:val="auto"/>
                <w:kern w:val="2"/>
                <w:sz w:val="21"/>
                <w:szCs w:val="22"/>
                <w:u w:val="none" w:color="auto"/>
                <w:lang w:val="en-US" w:eastAsia="zh-CN" w:bidi="ar-SA"/>
              </w:rPr>
              <w:t>吨</w:t>
            </w:r>
            <w:r>
              <w:rPr>
                <w:rFonts w:hint="eastAsia" w:ascii="宋体" w:hAnsi="Calibri" w:eastAsia="宋体" w:cs="Times New Roman"/>
                <w:color w:val="auto"/>
                <w:kern w:val="2"/>
                <w:sz w:val="21"/>
                <w:szCs w:val="22"/>
                <w:u w:val="none" w:color="auto"/>
                <w:lang w:val="zh-TW" w:eastAsia="zh-CN" w:bidi="ar-SA"/>
              </w:rPr>
              <w:t>）</w:t>
            </w:r>
          </w:p>
        </w:tc>
        <w:tc>
          <w:tcPr>
            <w:tcW w:w="1709" w:type="dxa"/>
            <w:tcBorders>
              <w:tl2br w:val="nil"/>
              <w:tr2bl w:val="nil"/>
            </w:tcBorders>
            <w:shd w:val="clear" w:color="auto" w:fill="auto"/>
            <w:vAlign w:val="top"/>
          </w:tcPr>
          <w:p>
            <w:pPr>
              <w:pStyle w:val="5"/>
              <w:keepNext w:val="0"/>
              <w:keepLines w:val="0"/>
              <w:pageBreakBefore w:val="0"/>
              <w:widowControl/>
              <w:kinsoku/>
              <w:wordWrap/>
              <w:overflowPunct/>
              <w:topLinePunct w:val="0"/>
              <w:bidi w:val="0"/>
              <w:adjustRightInd/>
              <w:snapToGrid/>
              <w:spacing w:line="560" w:lineRule="exact"/>
              <w:ind w:left="0" w:leftChars="0" w:right="0" w:rightChars="0"/>
              <w:jc w:val="left"/>
              <w:textAlignment w:val="auto"/>
              <w:rPr>
                <w:rFonts w:hint="eastAsia" w:ascii="宋体" w:hAnsi="Calibri" w:eastAsia="宋体" w:cs="Times New Roman"/>
                <w:color w:val="auto"/>
                <w:kern w:val="2"/>
                <w:sz w:val="21"/>
                <w:szCs w:val="22"/>
                <w:u w:val="none" w:color="auto"/>
                <w:lang w:val="zh-TW" w:eastAsia="zh-TW" w:bidi="ar-SA"/>
              </w:rPr>
            </w:pPr>
            <w:r>
              <w:rPr>
                <w:rFonts w:hint="eastAsia" w:ascii="仿宋_GB2312" w:hAnsi="仿宋_GB2312" w:eastAsia="仿宋_GB2312" w:cs="仿宋_GB2312"/>
                <w:color w:val="auto"/>
                <w:sz w:val="22"/>
                <w:szCs w:val="22"/>
                <w:highlight w:val="none"/>
                <w:lang w:val="en-US" w:eastAsia="zh-CN"/>
              </w:rPr>
              <w:t>0</w:t>
            </w:r>
            <w:r>
              <w:rPr>
                <w:rFonts w:hint="eastAsia" w:ascii="仿宋_GB2312" w:hAnsi="仿宋_GB2312" w:eastAsia="仿宋_GB2312" w:cs="仿宋_GB2312"/>
                <w:color w:val="auto"/>
                <w:sz w:val="22"/>
                <w:szCs w:val="22"/>
                <w:highlight w:val="none"/>
              </w:rPr>
              <w:t>吨</w:t>
            </w:r>
          </w:p>
        </w:tc>
      </w:tr>
    </w:tbl>
    <w:p>
      <w:pPr>
        <w:pStyle w:val="25"/>
        <w:rPr>
          <w:rFonts w:hint="eastAsia"/>
          <w:lang w:val="zh-TW" w:eastAsia="zh-CN"/>
        </w:rPr>
      </w:pPr>
      <w:bookmarkStart w:id="50" w:name="_Toc26629"/>
      <w:r>
        <w:rPr>
          <w:rFonts w:hint="eastAsia"/>
          <w:sz w:val="28"/>
          <w:szCs w:val="28"/>
          <w:lang w:val="zh-TW" w:eastAsia="zh-CN"/>
        </w:rPr>
        <w:t>数据梳理、校验及保护</w:t>
      </w:r>
      <w:bookmarkEnd w:id="50"/>
    </w:p>
    <w:p>
      <w:pPr>
        <w:pStyle w:val="2"/>
        <w:keepNext w:val="0"/>
        <w:keepLines w:val="0"/>
        <w:pageBreakBefore w:val="0"/>
        <w:numPr>
          <w:ilvl w:val="0"/>
          <w:numId w:val="0"/>
        </w:numPr>
        <w:kinsoku/>
        <w:wordWrap/>
        <w:overflowPunct/>
        <w:topLinePunct w:val="0"/>
        <w:bidi w:val="0"/>
        <w:adjustRightInd/>
        <w:snapToGrid/>
        <w:spacing w:line="560" w:lineRule="exact"/>
        <w:ind w:left="0" w:leftChars="0" w:right="0" w:rightChars="0" w:firstLine="640"/>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color w:val="000000"/>
          <w:kern w:val="2"/>
          <w:sz w:val="32"/>
          <w:szCs w:val="32"/>
          <w:u w:val="none" w:color="000000"/>
          <w:lang w:val="zh-TW" w:eastAsia="zh-CN" w:bidi="ar-SA"/>
        </w:rPr>
        <w:t>分行定期对绿色信贷数据进行梳理、校验，在业务系统中妥善维护绿色标识并完善绿色信贷相关信息。通过绿色金融信息报送监测系统、区域特色系统进行日常外部报送，确保数据及时准确。</w:t>
      </w:r>
    </w:p>
    <w:p>
      <w:pPr>
        <w:pStyle w:val="27"/>
        <w:rPr>
          <w:rFonts w:hint="eastAsia"/>
          <w:sz w:val="32"/>
          <w:szCs w:val="32"/>
          <w:lang w:val="en-US" w:eastAsia="zh-CN"/>
        </w:rPr>
      </w:pPr>
      <w:bookmarkStart w:id="51" w:name="_Toc23339956"/>
      <w:bookmarkStart w:id="52" w:name="_Toc23339694"/>
      <w:bookmarkStart w:id="53" w:name="_Toc26878"/>
      <w:r>
        <w:rPr>
          <w:rFonts w:hint="eastAsia"/>
          <w:sz w:val="32"/>
          <w:szCs w:val="32"/>
          <w:lang w:val="en-US" w:eastAsia="zh-CN"/>
        </w:rPr>
        <w:t>绿色金融创新及研究成果</w:t>
      </w:r>
      <w:bookmarkEnd w:id="51"/>
      <w:bookmarkEnd w:id="52"/>
      <w:bookmarkEnd w:id="53"/>
    </w:p>
    <w:tbl>
      <w:tblPr>
        <w:tblStyle w:val="19"/>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tcBorders>
              <w:tl2br w:val="nil"/>
              <w:tr2bl w:val="nil"/>
            </w:tcBorders>
            <w:vAlign w:val="top"/>
          </w:tcPr>
          <w:p>
            <w:pPr>
              <w:pStyle w:val="2"/>
              <w:keepNext w:val="0"/>
              <w:keepLines w:val="0"/>
              <w:pageBreakBefore w:val="0"/>
              <w:numPr>
                <w:ilvl w:val="0"/>
                <w:numId w:val="0"/>
              </w:numPr>
              <w:kinsoku/>
              <w:wordWrap/>
              <w:overflowPunct/>
              <w:topLinePunct w:val="0"/>
              <w:bidi w:val="0"/>
              <w:adjustRightInd/>
              <w:snapToGrid/>
              <w:spacing w:line="560" w:lineRule="exact"/>
              <w:ind w:left="0" w:leftChars="0" w:right="0" w:rightChars="0"/>
              <w:jc w:val="center"/>
              <w:textAlignment w:val="auto"/>
              <w:rPr>
                <w:rFonts w:hint="eastAsia" w:ascii="方正黑体_GBK" w:hAnsi="方正黑体_GBK" w:eastAsia="方正黑体_GBK" w:cs="方正黑体_GBK"/>
                <w:color w:val="auto"/>
                <w:kern w:val="2"/>
                <w:sz w:val="32"/>
                <w:szCs w:val="32"/>
                <w:u w:val="none" w:color="000000"/>
                <w:lang w:val="en-US" w:eastAsia="zh-CN" w:bidi="ar-SA"/>
              </w:rPr>
            </w:pPr>
            <w:r>
              <w:rPr>
                <w:rFonts w:hint="eastAsia" w:ascii="方正黑体_GBK" w:hAnsi="方正黑体_GBK" w:eastAsia="方正黑体_GBK" w:cs="方正黑体_GBK"/>
                <w:color w:val="auto"/>
                <w:kern w:val="2"/>
                <w:sz w:val="32"/>
                <w:szCs w:val="32"/>
                <w:u w:val="none" w:color="000000"/>
                <w:lang w:val="en-US" w:eastAsia="zh-CN" w:bidi="ar-SA"/>
              </w:rPr>
              <w:t>绿色金融产品服务（管理机制）创新案例</w:t>
            </w:r>
          </w:p>
          <w:p>
            <w:pPr>
              <w:pStyle w:val="22"/>
              <w:keepNext w:val="0"/>
              <w:keepLines w:val="0"/>
              <w:pageBreakBefore w:val="0"/>
              <w:kinsoku/>
              <w:wordWrap/>
              <w:overflowPunct/>
              <w:topLinePunct w:val="0"/>
              <w:bidi w:val="0"/>
              <w:adjustRightInd/>
              <w:snapToGrid/>
              <w:spacing w:before="165" w:line="560" w:lineRule="exact"/>
              <w:ind w:left="0" w:leftChars="0" w:right="0" w:rightChars="0" w:firstLine="0" w:firstLineChars="0"/>
              <w:textAlignment w:val="auto"/>
              <w:rPr>
                <w:rFonts w:hint="eastAsia" w:ascii="方正仿宋_GBK" w:hAnsi="方正仿宋_GBK" w:eastAsia="方正仿宋_GBK" w:cs="方正仿宋_GBK"/>
                <w:color w:val="000000"/>
                <w:kern w:val="2"/>
                <w:sz w:val="32"/>
                <w:szCs w:val="32"/>
                <w:u w:val="none" w:color="000000"/>
                <w:lang w:val="zh-TW" w:eastAsia="zh-CN" w:bidi="ar-SA"/>
              </w:rPr>
            </w:pPr>
            <w:bookmarkStart w:id="54" w:name="_Toc25157"/>
            <w:r>
              <w:rPr>
                <w:rFonts w:hint="eastAsia" w:ascii="方正仿宋_GBK" w:hAnsi="方正仿宋_GBK" w:eastAsia="方正仿宋_GBK" w:cs="方正仿宋_GBK"/>
                <w:color w:val="000000"/>
                <w:kern w:val="2"/>
                <w:sz w:val="32"/>
                <w:szCs w:val="32"/>
                <w:u w:val="none" w:color="000000"/>
                <w:lang w:val="zh-TW" w:eastAsia="zh-CN" w:bidi="ar-SA"/>
              </w:rPr>
              <w:t>案例1：</w:t>
            </w:r>
            <w:r>
              <w:rPr>
                <w:rFonts w:hint="eastAsia" w:ascii="方正仿宋_GBK" w:hAnsi="方正仿宋_GBK" w:eastAsia="方正仿宋_GBK" w:cs="方正仿宋_GBK"/>
                <w:color w:val="000000"/>
                <w:kern w:val="2"/>
                <w:sz w:val="32"/>
                <w:szCs w:val="32"/>
                <w:u w:val="single" w:color="auto"/>
                <w:lang w:val="zh-TW" w:eastAsia="zh-CN" w:bidi="ar-SA"/>
              </w:rPr>
              <w:t>依托湖州市绿色企业认定评价标准的绿色信贷专项授权</w:t>
            </w:r>
            <w:bookmarkEnd w:id="54"/>
          </w:p>
          <w:p>
            <w:pPr>
              <w:keepNext w:val="0"/>
              <w:keepLines w:val="0"/>
              <w:pageBreakBefore w:val="0"/>
              <w:tabs>
                <w:tab w:val="left" w:pos="949"/>
              </w:tabs>
              <w:kinsoku/>
              <w:wordWrap/>
              <w:overflowPunct/>
              <w:topLinePunct w:val="0"/>
              <w:bidi w:val="0"/>
              <w:adjustRightInd/>
              <w:snapToGrid/>
              <w:spacing w:line="560" w:lineRule="exact"/>
              <w:ind w:left="0" w:leftChars="0" w:right="0" w:rightChars="0" w:firstLine="643"/>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b/>
                <w:bCs/>
                <w:color w:val="000000"/>
                <w:kern w:val="2"/>
                <w:sz w:val="32"/>
                <w:szCs w:val="32"/>
                <w:u w:val="none" w:color="000000"/>
                <w:lang w:val="zh-TW" w:eastAsia="zh-CN" w:bidi="ar-SA"/>
              </w:rPr>
              <w:t>一、案例背景</w:t>
            </w:r>
            <w:r>
              <w:rPr>
                <w:rFonts w:hint="eastAsia" w:ascii="方正仿宋_GBK" w:hAnsi="方正仿宋_GBK" w:eastAsia="方正仿宋_GBK" w:cs="方正仿宋_GBK"/>
                <w:color w:val="000000"/>
                <w:kern w:val="2"/>
                <w:sz w:val="32"/>
                <w:szCs w:val="32"/>
                <w:u w:val="none" w:color="000000"/>
                <w:lang w:val="zh-TW" w:eastAsia="zh-CN" w:bidi="ar-SA"/>
              </w:rPr>
              <w:t>：2017年，中国人民银行等七部委批复《浙江省湖州市衢州市建设绿色金融改革创新试验区总体方案》（银发[2017]153号），标志着湖州成为全国首批8个创建全国绿色金融改革创新实验区的地市之一。对此，交行从上到下各级领导均非常重视。当年10月，总行授信部政策制度部高级经理一行来湖调研绿色金融改革创新试验区建设推进情况，听取了分行就当地政府和监管机构出台的绿色信贷相关政策、当地同业的开展情况及分行自身创建动作等方面的工作汇报。分行就绿色信贷专项授权、专项规模及绿色审批通道等在会上进行了专门的申请。当日，还前往市金融办就绿色金融改革创新试验区建设情况、绿色项目评价体系及绿色金融服务平台等内容进行了深入交流。</w:t>
            </w:r>
          </w:p>
          <w:p>
            <w:pPr>
              <w:keepNext w:val="0"/>
              <w:keepLines w:val="0"/>
              <w:pageBreakBefore w:val="0"/>
              <w:tabs>
                <w:tab w:val="left" w:pos="949"/>
              </w:tabs>
              <w:kinsoku/>
              <w:wordWrap/>
              <w:overflowPunct/>
              <w:topLinePunct w:val="0"/>
              <w:bidi w:val="0"/>
              <w:adjustRightInd/>
              <w:snapToGrid/>
              <w:spacing w:line="560" w:lineRule="exact"/>
              <w:ind w:left="0" w:leftChars="0" w:right="0" w:rightChars="0" w:firstLine="643"/>
              <w:textAlignment w:val="auto"/>
              <w:rPr>
                <w:rFonts w:hint="eastAsia"/>
                <w:lang w:val="zh-TW" w:eastAsia="zh-CN"/>
              </w:rPr>
            </w:pPr>
            <w:r>
              <w:rPr>
                <w:rFonts w:hint="eastAsia" w:ascii="方正仿宋_GBK" w:hAnsi="方正仿宋_GBK" w:eastAsia="方正仿宋_GBK" w:cs="方正仿宋_GBK"/>
                <w:b/>
                <w:bCs/>
                <w:color w:val="000000"/>
                <w:kern w:val="2"/>
                <w:sz w:val="32"/>
                <w:szCs w:val="32"/>
                <w:u w:val="none" w:color="000000"/>
                <w:lang w:val="zh-TW" w:eastAsia="zh-CN" w:bidi="ar-SA"/>
              </w:rPr>
              <w:t>二、主要做法</w:t>
            </w:r>
            <w:r>
              <w:rPr>
                <w:rFonts w:hint="eastAsia" w:ascii="方正仿宋_GBK" w:hAnsi="方正仿宋_GBK" w:eastAsia="方正仿宋_GBK" w:cs="方正仿宋_GBK"/>
                <w:color w:val="000000"/>
                <w:kern w:val="2"/>
                <w:sz w:val="32"/>
                <w:szCs w:val="32"/>
                <w:u w:val="none" w:color="000000"/>
                <w:lang w:val="zh-TW" w:eastAsia="zh-CN" w:bidi="ar-SA"/>
              </w:rPr>
              <w:t>：近两年来，我行多次向上申请绿色信贷专项授权，努力探索和寻求合理的专项融资授权方案，并与上级行持续交流沟通，不断优化方案。2018年，市金融办着手制定湖州市绿色企业/项目认定评价标准，分行积极参与，建言献策，对在研习绿色企业及绿色项目操作手册中碰到的问题积极沟通交流，并就拟出台的评价标准提出了具体意见建议。分行的积极协助得到了市金融办的充分肯定，同时也在前期即对湖州市绿色企业/项目认定评价标准有了较为深入的了解，为后续专项授权的申请打下基础。</w:t>
            </w:r>
          </w:p>
          <w:p>
            <w:pPr>
              <w:keepNext w:val="0"/>
              <w:keepLines w:val="0"/>
              <w:pageBreakBefore w:val="0"/>
              <w:numPr>
                <w:ilvl w:val="0"/>
                <w:numId w:val="2"/>
              </w:numPr>
              <w:tabs>
                <w:tab w:val="left" w:pos="949"/>
              </w:tabs>
              <w:kinsoku/>
              <w:wordWrap/>
              <w:overflowPunct/>
              <w:topLinePunct w:val="0"/>
              <w:bidi w:val="0"/>
              <w:adjustRightInd/>
              <w:snapToGrid/>
              <w:spacing w:line="560" w:lineRule="exact"/>
              <w:ind w:left="0" w:leftChars="0" w:right="0" w:rightChars="0" w:firstLine="643"/>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b/>
                <w:bCs/>
                <w:color w:val="000000"/>
                <w:kern w:val="2"/>
                <w:sz w:val="32"/>
                <w:szCs w:val="32"/>
                <w:u w:val="none" w:color="000000"/>
                <w:lang w:val="zh-TW" w:eastAsia="zh-CN" w:bidi="ar-SA"/>
              </w:rPr>
              <w:t>主要成效</w:t>
            </w:r>
            <w:r>
              <w:rPr>
                <w:rFonts w:hint="eastAsia" w:ascii="方正仿宋_GBK" w:hAnsi="方正仿宋_GBK" w:eastAsia="方正仿宋_GBK" w:cs="方正仿宋_GBK"/>
                <w:color w:val="000000"/>
                <w:kern w:val="2"/>
                <w:sz w:val="32"/>
                <w:szCs w:val="32"/>
                <w:u w:val="none" w:color="000000"/>
                <w:lang w:val="zh-TW" w:eastAsia="zh-CN" w:bidi="ar-SA"/>
              </w:rPr>
              <w:t>：2018年10月，随着湖州当地绿色企业/项目认定评价方法的出台，已对当地企业项目在“绿贷通”平台内置的绿色评价系统进行绿色贴标，并引入第三方机构对评价结果予以确认，作为对绿色贷款进行贴息、绿色信用贷款进行风险补偿的依据。2019年1月，分行依托湖州市绿色企业认定评价标准，再次梳理整合，提交了《湖州分行绿色信贷专项授权申请》专项报告。申请提交后，分行积极向上对接沟通，最终成功获批，成为系统内全省唯一一家获批绿色信贷专项授权的分行，获批授权如下：“绿贷通”平台中绿色企业认定评价结果为深绿或中绿的企业，给予分行首笔业务专项融资授权2000万元（担保方式非信用）。</w:t>
            </w:r>
          </w:p>
          <w:p>
            <w:pPr>
              <w:keepNext w:val="0"/>
              <w:keepLines w:val="0"/>
              <w:pageBreakBefore w:val="0"/>
              <w:numPr>
                <w:ilvl w:val="0"/>
                <w:numId w:val="0"/>
              </w:numPr>
              <w:tabs>
                <w:tab w:val="left" w:pos="949"/>
              </w:tabs>
              <w:kinsoku/>
              <w:wordWrap/>
              <w:overflowPunct/>
              <w:topLinePunct w:val="0"/>
              <w:bidi w:val="0"/>
              <w:adjustRightInd/>
              <w:snapToGrid/>
              <w:spacing w:line="560" w:lineRule="exact"/>
              <w:ind w:right="0" w:rightChars="0"/>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kern w:val="2"/>
                <w:sz w:val="32"/>
                <w:szCs w:val="32"/>
                <w:lang w:val="en-US" w:eastAsia="zh-CN" w:bidi="ar-SA"/>
              </w:rPr>
              <w:t xml:space="preserve">    随着绿色企业项目评定评价工作的进一步展开，已专门开发“绿信通”平台支持此项工作。分行于7月依托“交银湖州学堂”举办“绿信通绿色企业项目评定评价操作培训”，进一步推进分行绿色信贷专项授权的落地，并为当年贴息工作做好准备。2019年，分行通过“绿信通”平台系统对企业项目进行绿色初评合计41户（含企业35户、项目6户）。金融办在《关于依托“绿信通”系统开展绿色融资主体认定评价工作的通报》中对分行“绿信通”评定评价工作给予了“总体积极”的评价，列湖州市34家金融机构第三。截止</w:t>
            </w:r>
            <w:r>
              <w:rPr>
                <w:rFonts w:hint="eastAsia" w:ascii="方正仿宋_GBK" w:hAnsi="方正仿宋_GBK" w:eastAsia="方正仿宋_GBK" w:cs="方正仿宋_GBK"/>
                <w:color w:val="000000"/>
                <w:kern w:val="2"/>
                <w:sz w:val="32"/>
                <w:szCs w:val="32"/>
                <w:u w:val="none" w:color="000000"/>
                <w:lang w:val="zh-TW" w:eastAsia="zh-CN" w:bidi="ar-SA"/>
              </w:rPr>
              <w:t>2019年末，已有3户新客户采用该专项授权通过审批并提款共计3800万元。</w:t>
            </w:r>
          </w:p>
          <w:p>
            <w:pPr>
              <w:keepNext w:val="0"/>
              <w:keepLines w:val="0"/>
              <w:pageBreakBefore w:val="0"/>
              <w:tabs>
                <w:tab w:val="left" w:pos="949"/>
              </w:tabs>
              <w:kinsoku/>
              <w:wordWrap/>
              <w:overflowPunct/>
              <w:topLinePunct w:val="0"/>
              <w:bidi w:val="0"/>
              <w:adjustRightInd/>
              <w:snapToGrid/>
              <w:spacing w:line="560" w:lineRule="exact"/>
              <w:ind w:left="0" w:leftChars="0" w:right="0" w:rightChars="0" w:firstLine="643"/>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b/>
                <w:bCs/>
                <w:color w:val="000000"/>
                <w:kern w:val="2"/>
                <w:sz w:val="32"/>
                <w:szCs w:val="32"/>
                <w:u w:val="none" w:color="000000"/>
                <w:lang w:val="zh-TW" w:eastAsia="zh-CN" w:bidi="ar-SA"/>
              </w:rPr>
              <w:t>四、案例总结</w:t>
            </w:r>
            <w:r>
              <w:rPr>
                <w:rFonts w:hint="eastAsia" w:ascii="方正仿宋_GBK" w:hAnsi="方正仿宋_GBK" w:eastAsia="方正仿宋_GBK" w:cs="方正仿宋_GBK"/>
                <w:color w:val="000000"/>
                <w:kern w:val="2"/>
                <w:sz w:val="32"/>
                <w:szCs w:val="32"/>
                <w:u w:val="none" w:color="000000"/>
                <w:lang w:val="zh-TW" w:eastAsia="zh-CN" w:bidi="ar-SA"/>
              </w:rPr>
              <w:t>：</w:t>
            </w:r>
          </w:p>
          <w:p>
            <w:pPr>
              <w:keepNext w:val="0"/>
              <w:keepLines w:val="0"/>
              <w:pageBreakBefore w:val="0"/>
              <w:tabs>
                <w:tab w:val="left" w:pos="949"/>
              </w:tabs>
              <w:kinsoku/>
              <w:wordWrap/>
              <w:overflowPunct/>
              <w:topLinePunct w:val="0"/>
              <w:bidi w:val="0"/>
              <w:adjustRightInd/>
              <w:snapToGrid/>
              <w:spacing w:line="560" w:lineRule="exact"/>
              <w:ind w:left="0" w:leftChars="0" w:right="0" w:rightChars="0" w:firstLine="643"/>
              <w:textAlignment w:val="auto"/>
              <w:rPr>
                <w:rFonts w:hint="eastAsia" w:ascii="方正仿宋_GBK" w:hAnsi="方正仿宋_GBK" w:eastAsia="方正仿宋_GBK" w:cs="方正仿宋_GBK"/>
                <w:color w:val="000000"/>
                <w:kern w:val="2"/>
                <w:sz w:val="32"/>
                <w:szCs w:val="32"/>
                <w:u w:val="none" w:color="000000"/>
                <w:lang w:val="zh-TW" w:eastAsia="zh-CN" w:bidi="ar-SA"/>
              </w:rPr>
            </w:pPr>
            <w:r>
              <w:rPr>
                <w:rFonts w:hint="eastAsia" w:ascii="方正仿宋_GBK" w:hAnsi="方正仿宋_GBK" w:eastAsia="方正仿宋_GBK" w:cs="方正仿宋_GBK"/>
                <w:color w:val="000000"/>
                <w:kern w:val="2"/>
                <w:sz w:val="32"/>
                <w:szCs w:val="32"/>
                <w:u w:val="none" w:color="000000"/>
                <w:lang w:val="zh-TW" w:eastAsia="zh-CN" w:bidi="ar-SA"/>
              </w:rPr>
              <w:t>1. 在外部绿色系统平台（绿贷通、绿信通）不断完善的基础上，依托湖州市绿色企业认定评价标准，充分考虑地方特色，同时解决前期绿色口径较多、难以统一标准的困难。</w:t>
            </w:r>
          </w:p>
          <w:p>
            <w:pPr>
              <w:keepNext w:val="0"/>
              <w:keepLines w:val="0"/>
              <w:pageBreakBefore w:val="0"/>
              <w:tabs>
                <w:tab w:val="left" w:pos="949"/>
              </w:tabs>
              <w:kinsoku/>
              <w:wordWrap/>
              <w:overflowPunct/>
              <w:topLinePunct w:val="0"/>
              <w:bidi w:val="0"/>
              <w:adjustRightInd/>
              <w:snapToGrid/>
              <w:spacing w:line="560" w:lineRule="exact"/>
              <w:ind w:left="0" w:leftChars="0" w:right="0" w:rightChars="0" w:firstLine="643"/>
              <w:textAlignment w:val="auto"/>
              <w:rPr>
                <w:rFonts w:ascii="黑体" w:hAnsi="黑体" w:eastAsia="黑体"/>
                <w:kern w:val="0"/>
                <w:sz w:val="28"/>
              </w:rPr>
            </w:pPr>
            <w:r>
              <w:rPr>
                <w:rFonts w:hint="eastAsia" w:ascii="方正仿宋_GBK" w:hAnsi="方正仿宋_GBK" w:eastAsia="方正仿宋_GBK" w:cs="方正仿宋_GBK"/>
                <w:color w:val="000000"/>
                <w:kern w:val="2"/>
                <w:sz w:val="32"/>
                <w:szCs w:val="32"/>
                <w:u w:val="none" w:color="000000"/>
                <w:lang w:val="zh-TW" w:eastAsia="zh-CN" w:bidi="ar-SA"/>
              </w:rPr>
              <w:t xml:space="preserve">2. 该项授权为系统内全省唯一绿色信贷专项授权，突显湖州绿色金融地方特色，有利于分行持续拓展绿色客户，进一步做大绿色信贷规模，为当地绿色企业的加速发展贡献力量。   </w:t>
            </w:r>
            <w:r>
              <w:rPr>
                <w:rFonts w:hint="eastAsia" w:ascii="仿宋_GB2312" w:hAnsi="黑体" w:eastAsia="仿宋_GB2312"/>
                <w:b w:val="0"/>
                <w:bCs/>
                <w:kern w:val="0"/>
                <w:sz w:val="32"/>
                <w:szCs w:val="32"/>
              </w:rPr>
              <w:t xml:space="preserve">                                           </w:t>
            </w:r>
          </w:p>
        </w:tc>
      </w:tr>
    </w:tbl>
    <w:p>
      <w:pPr>
        <w:pStyle w:val="21"/>
        <w:keepNext w:val="0"/>
        <w:keepLines w:val="0"/>
        <w:pageBreakBefore w:val="0"/>
        <w:numPr>
          <w:ilvl w:val="0"/>
          <w:numId w:val="0"/>
        </w:numPr>
        <w:kinsoku/>
        <w:wordWrap/>
        <w:overflowPunct/>
        <w:topLinePunct w:val="0"/>
        <w:bidi w:val="0"/>
        <w:adjustRightInd/>
        <w:snapToGrid/>
        <w:spacing w:line="560" w:lineRule="exact"/>
        <w:ind w:left="0" w:leftChars="0" w:right="0" w:rightChars="0"/>
        <w:textAlignment w:val="auto"/>
        <w:rPr>
          <w:rFonts w:hint="eastAsia" w:ascii="仿宋_GB2312" w:hAnsi="仿宋_GB2312" w:eastAsia="仿宋_GB2312" w:cs="仿宋_GB2312"/>
          <w:b/>
          <w:kern w:val="2"/>
          <w:sz w:val="32"/>
          <w:szCs w:val="32"/>
          <w:u w:val="none" w:color="000000"/>
          <w:lang w:val="en-US" w:eastAsia="zh-CN"/>
        </w:rPr>
      </w:pP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Arial Unicode MS"/>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decorative"/>
    <w:pitch w:val="default"/>
    <w:sig w:usb0="FFFFFFFF" w:usb1="E9FFFFFF" w:usb2="0000003F" w:usb3="00000000" w:csb0="603F01FF" w:csb1="FFFF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modern"/>
    <w:pitch w:val="default"/>
    <w:sig w:usb0="FFFFFFFF" w:usb1="E9FFFFFF" w:usb2="0000003F" w:usb3="00000000" w:csb0="603F01FF" w:csb1="FFFF0000"/>
  </w:font>
  <w:font w:name="楷体">
    <w:panose1 w:val="02010609060101010101"/>
    <w:charset w:val="86"/>
    <w:family w:val="roman"/>
    <w:pitch w:val="default"/>
    <w:sig w:usb0="800002BF" w:usb1="38CF7CFA" w:usb2="00000016" w:usb3="00000000" w:csb0="00040001"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PMingLiU">
    <w:panose1 w:val="02020500000000000000"/>
    <w:charset w:val="88"/>
    <w:family w:val="decorative"/>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3C0041" w:csb1="A0080000"/>
  </w:font>
  <w:font w:name="方正黑体_GBK">
    <w:panose1 w:val="03000509000000000000"/>
    <w:charset w:val="86"/>
    <w:family w:val="script"/>
    <w:pitch w:val="default"/>
    <w:sig w:usb0="00000001" w:usb1="080E0000" w:usb2="00000000" w:usb3="00000000" w:csb0="003C0041" w:csb1="A0080000"/>
  </w:font>
  <w:font w:name="Arial">
    <w:panose1 w:val="020B0604020202020204"/>
    <w:charset w:val="00"/>
    <w:family w:val="auto"/>
    <w:pitch w:val="default"/>
    <w:sig w:usb0="E0002AFF" w:usb1="C0007843" w:usb2="00000009" w:usb3="00000000" w:csb0="400001FF" w:csb1="FFFF0000"/>
  </w:font>
  <w:font w:name="FZFSK--GBK1-0">
    <w:altName w:val="宋体"/>
    <w:panose1 w:val="00000000000000000000"/>
    <w:charset w:val="86"/>
    <w:family w:val="auto"/>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FangSong_GB2312">
    <w:altName w:val="仿宋"/>
    <w:panose1 w:val="02010609060101010101"/>
    <w:charset w:val="86"/>
    <w:family w:val="swiss"/>
    <w:pitch w:val="default"/>
    <w:sig w:usb0="00000000" w:usb1="00000000" w:usb2="00000016" w:usb3="00000000" w:csb0="00040001" w:csb1="00000000"/>
  </w:font>
  <w:font w:name="FangSong_GB2312">
    <w:altName w:val="仿宋"/>
    <w:panose1 w:val="02010609060101010101"/>
    <w:charset w:val="86"/>
    <w:family w:val="decorative"/>
    <w:pitch w:val="default"/>
    <w:sig w:usb0="00000000" w:usb1="00000000" w:usb2="00000016" w:usb3="00000000" w:csb0="00040001" w:csb1="00000000"/>
  </w:font>
  <w:font w:name="FangSong_GB2312">
    <w:altName w:val="仿宋"/>
    <w:panose1 w:val="02010609060101010101"/>
    <w:charset w:val="86"/>
    <w:family w:val="roman"/>
    <w:pitch w:val="default"/>
    <w:sig w:usb0="00000000" w:usb1="00000000" w:usb2="00000016" w:usb3="00000000" w:csb0="00040001" w:csb1="00000000"/>
  </w:font>
  <w:font w:name="Cambria Math">
    <w:panose1 w:val="02040503050406030204"/>
    <w:charset w:val="00"/>
    <w:family w:val="auto"/>
    <w:pitch w:val="default"/>
    <w:sig w:usb0="E00002FF" w:usb1="420024FF" w:usb2="00000000" w:usb3="00000000" w:csb0="2000019F" w:csb1="00000000"/>
  </w:font>
  <w:font w:name="@方正仿宋_GBK">
    <w:panose1 w:val="03000509000000000000"/>
    <w:charset w:val="86"/>
    <w:family w:val="auto"/>
    <w:pitch w:val="default"/>
    <w:sig w:usb0="00000001" w:usb1="080E0000" w:usb2="00000000" w:usb3="00000000" w:csb0="003C0041" w:csb1="A0080000"/>
  </w:font>
  <w:font w:name="方正楷体_GBK">
    <w:panose1 w:val="03000509000000000000"/>
    <w:charset w:val="86"/>
    <w:family w:val="auto"/>
    <w:pitch w:val="default"/>
    <w:sig w:usb0="00000001" w:usb1="080E0000" w:usb2="00000000" w:usb3="00000000" w:csb0="003C0041" w:csb1="A008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方正仿宋">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方正兰亭黑_GB18030">
    <w:panose1 w:val="02000000000000000000"/>
    <w:charset w:val="86"/>
    <w:family w:val="auto"/>
    <w:pitch w:val="default"/>
    <w:sig w:usb0="00000001" w:usb1="0800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0000000000000000000"/>
    <w:charset w:val="86"/>
    <w:family w:val="decorative"/>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楷体_GB2312">
    <w:altName w:val="楷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Calibri Light">
    <w:altName w:val="Times New Roman"/>
    <w:panose1 w:val="00000000000000000000"/>
    <w:charset w:val="00"/>
    <w:family w:val="modern"/>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黑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方正中等线_GBK_扩充">
    <w:panose1 w:val="03000509000000000000"/>
    <w:charset w:val="86"/>
    <w:family w:val="script"/>
    <w:pitch w:val="default"/>
    <w:sig w:usb0="00000001" w:usb1="080E0000" w:usb2="00000000" w:usb3="00000000" w:csb0="003C0041" w:csb1="A00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方正中等线_GBK">
    <w:panose1 w:val="03000509000000000000"/>
    <w:charset w:val="86"/>
    <w:family w:val="auto"/>
    <w:pitch w:val="default"/>
    <w:sig w:usb0="10002003" w:usb1="AB1E0800" w:usb2="000A004E" w:usb3="00000000" w:csb0="003C0041" w:csb1="A008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swiss"/>
    <w:pitch w:val="default"/>
    <w:sig w:usb0="00000001" w:usb1="080E0000" w:usb2="00000000" w:usb3="00000000" w:csb0="00040000" w:csb1="00000000"/>
  </w:font>
  <w:font w:name="幼圆">
    <w:panose1 w:val="02010509060101010101"/>
    <w:charset w:val="86"/>
    <w:family w:val="decorative"/>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幼圆">
    <w:panose1 w:val="0201050906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Calibri Light">
    <w:altName w:val="Times New Roman"/>
    <w:panose1 w:val="00000000000000000000"/>
    <w:charset w:val="00"/>
    <w:family w:val="swiss"/>
    <w:pitch w:val="default"/>
    <w:sig w:usb0="00000000" w:usb1="00000000" w:usb2="00000000" w:usb3="00000000" w:csb0="00000000" w:csb1="00000000"/>
  </w:font>
  <w:font w:name="Calibri Light">
    <w:altName w:val="Times New Roman"/>
    <w:panose1 w:val="00000000000000000000"/>
    <w:charset w:val="00"/>
    <w:family w:val="decorative"/>
    <w:pitch w:val="default"/>
    <w:sig w:usb0="00000000" w:usb1="00000000" w:usb2="00000000" w:usb3="00000000" w:csb0="00000000" w:csb1="00000000"/>
  </w:font>
  <w:font w:name="Calibri Ligh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00" w:usb3="00000000" w:csb0="00040000" w:csb1="00000000"/>
  </w:font>
  <w:font w:name="华康简标题宋">
    <w:altName w:val="宋体"/>
    <w:panose1 w:val="02010609000101010101"/>
    <w:charset w:val="86"/>
    <w:family w:val="swiss"/>
    <w:pitch w:val="default"/>
    <w:sig w:usb0="00000000" w:usb1="00000000" w:usb2="00000010" w:usb3="00000000" w:csb0="00040000" w:csb1="00000000"/>
  </w:font>
  <w:font w:name="华康简标题宋">
    <w:altName w:val="宋体"/>
    <w:panose1 w:val="02010609000101010101"/>
    <w:charset w:val="86"/>
    <w:family w:val="decorative"/>
    <w:pitch w:val="default"/>
    <w:sig w:usb0="00000000" w:usb1="00000000" w:usb2="00000010" w:usb3="00000000" w:csb0="00040000" w:csb1="00000000"/>
  </w:font>
  <w:font w:name="华康简标题宋">
    <w:altName w:val="宋体"/>
    <w:panose1 w:val="02010609000101010101"/>
    <w:charset w:val="86"/>
    <w:family w:val="roma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3C0041" w:csb1="A00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3270883">
    <w:nsid w:val="1FC91163"/>
    <w:multiLevelType w:val="multilevel"/>
    <w:tmpl w:val="1FC91163"/>
    <w:lvl w:ilvl="0" w:tentative="1">
      <w:start w:val="1"/>
      <w:numFmt w:val="decimal"/>
      <w:pStyle w:val="27"/>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25"/>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1">
      <w:start w:val="1"/>
      <w:numFmt w:val="decimal"/>
      <w:pStyle w:val="24"/>
      <w:suff w:val="nothing"/>
      <w:lvlText w:val="%1.%2.%3　"/>
      <w:lvlJc w:val="left"/>
      <w:pPr>
        <w:ind w:left="3828" w:firstLine="0"/>
      </w:pPr>
      <w:rPr>
        <w:rFonts w:hint="eastAsia" w:ascii="黑体" w:hAnsi="Times New Roman" w:eastAsia="黑体"/>
        <w:b w:val="0"/>
        <w:i w:val="0"/>
        <w:sz w:val="21"/>
        <w:lang w:eastAsia="zh-TW"/>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589805281">
    <w:nsid w:val="5EC280E1"/>
    <w:multiLevelType w:val="singleLevel"/>
    <w:tmpl w:val="5EC280E1"/>
    <w:lvl w:ilvl="0" w:tentative="1">
      <w:start w:val="3"/>
      <w:numFmt w:val="chineseCounting"/>
      <w:suff w:val="nothing"/>
      <w:lvlText w:val="%1、"/>
      <w:lvlJc w:val="left"/>
    </w:lvl>
  </w:abstractNum>
  <w:num w:numId="1">
    <w:abstractNumId w:val="533270883"/>
  </w:num>
  <w:num w:numId="2">
    <w:abstractNumId w:val="1589805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24A8A"/>
    <w:rsid w:val="01FE3350"/>
    <w:rsid w:val="049A781C"/>
    <w:rsid w:val="04EA08A0"/>
    <w:rsid w:val="08456F9D"/>
    <w:rsid w:val="08506633"/>
    <w:rsid w:val="0CEC69C1"/>
    <w:rsid w:val="0E0E7D9E"/>
    <w:rsid w:val="104C4DC9"/>
    <w:rsid w:val="11067A7B"/>
    <w:rsid w:val="11DC45DB"/>
    <w:rsid w:val="1458496F"/>
    <w:rsid w:val="14B0757C"/>
    <w:rsid w:val="14E909DB"/>
    <w:rsid w:val="15B75BB0"/>
    <w:rsid w:val="19412BFE"/>
    <w:rsid w:val="19AC44AC"/>
    <w:rsid w:val="1AA13ABF"/>
    <w:rsid w:val="1C1F1D32"/>
    <w:rsid w:val="1DE86D9F"/>
    <w:rsid w:val="1DEA6A1F"/>
    <w:rsid w:val="1FB52813"/>
    <w:rsid w:val="21C173F0"/>
    <w:rsid w:val="23B2431C"/>
    <w:rsid w:val="249B429A"/>
    <w:rsid w:val="24E25D13"/>
    <w:rsid w:val="26D20A42"/>
    <w:rsid w:val="2AAC548F"/>
    <w:rsid w:val="2B9D3E9D"/>
    <w:rsid w:val="2BA7222F"/>
    <w:rsid w:val="2BCE686B"/>
    <w:rsid w:val="2C5867CF"/>
    <w:rsid w:val="2E8A57EA"/>
    <w:rsid w:val="2FCF47FC"/>
    <w:rsid w:val="30E1593E"/>
    <w:rsid w:val="31863ECE"/>
    <w:rsid w:val="31C64CB7"/>
    <w:rsid w:val="361F6B5B"/>
    <w:rsid w:val="36E31802"/>
    <w:rsid w:val="37320B59"/>
    <w:rsid w:val="38910B5D"/>
    <w:rsid w:val="391B523E"/>
    <w:rsid w:val="39856E6C"/>
    <w:rsid w:val="39957106"/>
    <w:rsid w:val="39CC17DF"/>
    <w:rsid w:val="3BA62369"/>
    <w:rsid w:val="3C7B6ECA"/>
    <w:rsid w:val="3CC73AC6"/>
    <w:rsid w:val="3E1C2D73"/>
    <w:rsid w:val="3FC91B34"/>
    <w:rsid w:val="41516138"/>
    <w:rsid w:val="41876612"/>
    <w:rsid w:val="433C6F5D"/>
    <w:rsid w:val="43CC2FC9"/>
    <w:rsid w:val="440F4D37"/>
    <w:rsid w:val="456552E9"/>
    <w:rsid w:val="47213040"/>
    <w:rsid w:val="4809333E"/>
    <w:rsid w:val="4AA50448"/>
    <w:rsid w:val="4ACA50C0"/>
    <w:rsid w:val="4D175F8A"/>
    <w:rsid w:val="50BC3801"/>
    <w:rsid w:val="50DB62B4"/>
    <w:rsid w:val="518F4E5F"/>
    <w:rsid w:val="52470D8A"/>
    <w:rsid w:val="589B3CED"/>
    <w:rsid w:val="5C45126F"/>
    <w:rsid w:val="60A93A22"/>
    <w:rsid w:val="618D7518"/>
    <w:rsid w:val="619501A8"/>
    <w:rsid w:val="63065CD5"/>
    <w:rsid w:val="63806A4E"/>
    <w:rsid w:val="66716DA1"/>
    <w:rsid w:val="67EF1790"/>
    <w:rsid w:val="6A4A15B4"/>
    <w:rsid w:val="6CAF20DF"/>
    <w:rsid w:val="6CC354FC"/>
    <w:rsid w:val="6D98205C"/>
    <w:rsid w:val="6DE333D5"/>
    <w:rsid w:val="6E624FA8"/>
    <w:rsid w:val="72D850F7"/>
    <w:rsid w:val="737F240C"/>
    <w:rsid w:val="74335733"/>
    <w:rsid w:val="76A9613C"/>
    <w:rsid w:val="77432AB8"/>
    <w:rsid w:val="77866A24"/>
    <w:rsid w:val="79132D33"/>
    <w:rsid w:val="79294ED6"/>
    <w:rsid w:val="79C54D55"/>
    <w:rsid w:val="7A0138B5"/>
    <w:rsid w:val="7BAA3C71"/>
    <w:rsid w:val="7E6D4779"/>
    <w:rsid w:val="7FFE16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tabs>
        <w:tab w:val="left" w:pos="949"/>
      </w:tabs>
      <w:spacing w:line="560" w:lineRule="exact"/>
      <w:ind w:firstLine="200" w:firstLineChars="200"/>
      <w:outlineLvl w:val="0"/>
    </w:pPr>
    <w:rPr>
      <w:rFonts w:ascii="黑体" w:hAnsi="黑体" w:eastAsia="黑体" w:cs="Times New Roman"/>
      <w:color w:val="auto"/>
      <w:sz w:val="32"/>
      <w:szCs w:val="32"/>
      <w:lang w:val="zh-TW"/>
    </w:rPr>
  </w:style>
  <w:style w:type="character" w:default="1" w:styleId="18">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customStyle="1" w:styleId="5">
    <w:name w:val="正文 A"/>
    <w:qFormat/>
    <w:uiPriority w:val="0"/>
    <w:pPr>
      <w:widowControl w:val="0"/>
      <w:jc w:val="both"/>
    </w:pPr>
    <w:rPr>
      <w:rFonts w:eastAsia="Arial Unicode MS" w:cs="Arial Unicode MS" w:asciiTheme="minorHAnsi" w:hAnsiTheme="minorHAnsi"/>
      <w:color w:val="000000"/>
      <w:kern w:val="2"/>
      <w:sz w:val="21"/>
      <w:szCs w:val="21"/>
      <w:u w:val="none" w:color="000000"/>
      <w:lang w:val="en-US" w:eastAsia="zh-CN" w:bidi="ar-SA"/>
    </w:rPr>
  </w:style>
  <w:style w:type="paragraph" w:styleId="6">
    <w:name w:val="toc 7"/>
    <w:basedOn w:val="1"/>
    <w:next w:val="1"/>
    <w:uiPriority w:val="0"/>
    <w:pPr>
      <w:ind w:left="2520" w:leftChars="1200"/>
    </w:pPr>
  </w:style>
  <w:style w:type="paragraph" w:styleId="7">
    <w:name w:val="annotation text"/>
    <w:basedOn w:val="1"/>
    <w:qFormat/>
    <w:uiPriority w:val="0"/>
    <w:pPr>
      <w:jc w:val="left"/>
    </w:pPr>
  </w:style>
  <w:style w:type="paragraph" w:styleId="8">
    <w:name w:val="toc 5"/>
    <w:basedOn w:val="1"/>
    <w:next w:val="1"/>
    <w:uiPriority w:val="0"/>
    <w:pPr>
      <w:ind w:left="1680" w:leftChars="800"/>
    </w:pPr>
  </w:style>
  <w:style w:type="paragraph" w:styleId="9">
    <w:name w:val="toc 3"/>
    <w:basedOn w:val="1"/>
    <w:next w:val="1"/>
    <w:uiPriority w:val="0"/>
    <w:pPr>
      <w:ind w:left="840" w:leftChars="400"/>
    </w:pPr>
  </w:style>
  <w:style w:type="paragraph" w:styleId="10">
    <w:name w:val="toc 8"/>
    <w:basedOn w:val="1"/>
    <w:next w:val="1"/>
    <w:uiPriority w:val="0"/>
    <w:pPr>
      <w:ind w:left="2940" w:leftChars="1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iPriority w:val="0"/>
  </w:style>
  <w:style w:type="paragraph" w:styleId="14">
    <w:name w:val="toc 4"/>
    <w:basedOn w:val="1"/>
    <w:next w:val="1"/>
    <w:uiPriority w:val="0"/>
    <w:pPr>
      <w:ind w:left="1260" w:leftChars="600"/>
    </w:pPr>
  </w:style>
  <w:style w:type="paragraph" w:styleId="15">
    <w:name w:val="toc 6"/>
    <w:basedOn w:val="1"/>
    <w:next w:val="1"/>
    <w:uiPriority w:val="0"/>
    <w:pPr>
      <w:ind w:left="2100" w:leftChars="1000"/>
    </w:pPr>
  </w:style>
  <w:style w:type="paragraph" w:styleId="16">
    <w:name w:val="toc 2"/>
    <w:basedOn w:val="1"/>
    <w:next w:val="1"/>
    <w:uiPriority w:val="0"/>
    <w:pPr>
      <w:ind w:left="420" w:leftChars="200"/>
    </w:pPr>
  </w:style>
  <w:style w:type="paragraph" w:styleId="17">
    <w:name w:val="toc 9"/>
    <w:basedOn w:val="1"/>
    <w:next w:val="1"/>
    <w:uiPriority w:val="0"/>
    <w:pPr>
      <w:ind w:left="3360" w:leftChars="16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1">
    <w:name w:val="段"/>
    <w:qFormat/>
    <w:uiPriority w:val="2"/>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paragraph" w:customStyle="1" w:styleId="22">
    <w:name w:val="_Style 4"/>
    <w:basedOn w:val="2"/>
    <w:qFormat/>
    <w:uiPriority w:val="1"/>
    <w:pPr>
      <w:tabs>
        <w:tab w:val="left" w:pos="949"/>
      </w:tabs>
      <w:spacing w:before="50" w:beforeLines="50" w:after="0" w:line="560" w:lineRule="exact"/>
      <w:ind w:left="0" w:leftChars="0" w:firstLine="200"/>
      <w:outlineLvl w:val="2"/>
    </w:pPr>
    <w:rPr>
      <w:rFonts w:ascii="楷体_GB2312" w:eastAsia="楷体_GB2312"/>
      <w:kern w:val="0"/>
      <w:sz w:val="32"/>
      <w:u w:val="single"/>
    </w:rPr>
  </w:style>
  <w:style w:type="paragraph" w:customStyle="1" w:styleId="23">
    <w:name w:val="二级无"/>
    <w:basedOn w:val="24"/>
    <w:qFormat/>
    <w:uiPriority w:val="1630"/>
    <w:pPr>
      <w:spacing w:before="0" w:beforeLines="0" w:after="0" w:afterLines="0"/>
    </w:pPr>
    <w:rPr>
      <w:rFonts w:ascii="宋体" w:eastAsia="宋体"/>
    </w:rPr>
  </w:style>
  <w:style w:type="paragraph" w:customStyle="1" w:styleId="24">
    <w:name w:val="二级条标题"/>
    <w:basedOn w:val="25"/>
    <w:next w:val="21"/>
    <w:qFormat/>
    <w:uiPriority w:val="1654"/>
    <w:pPr>
      <w:numPr>
        <w:ilvl w:val="2"/>
        <w:numId w:val="1"/>
      </w:numPr>
      <w:spacing w:before="50" w:after="50"/>
      <w:outlineLvl w:val="3"/>
    </w:pPr>
  </w:style>
  <w:style w:type="paragraph" w:customStyle="1" w:styleId="25">
    <w:name w:val="一级条标题"/>
    <w:next w:val="21"/>
    <w:qFormat/>
    <w:uiPriority w:val="1654"/>
    <w:pPr>
      <w:numPr>
        <w:ilvl w:val="1"/>
        <w:numId w:val="1"/>
      </w:numPr>
      <w:spacing w:before="156" w:beforeLines="50" w:after="156" w:afterLines="50"/>
      <w:outlineLvl w:val="2"/>
    </w:pPr>
    <w:rPr>
      <w:rFonts w:ascii="黑体" w:eastAsia="黑体" w:hAnsiTheme="minorHAnsi" w:cstheme="minorBidi"/>
      <w:sz w:val="21"/>
      <w:szCs w:val="21"/>
      <w:lang w:val="en-US" w:eastAsia="zh-CN" w:bidi="ar-SA"/>
    </w:rPr>
  </w:style>
  <w:style w:type="paragraph" w:customStyle="1" w:styleId="26">
    <w:name w:val="List Paragraph"/>
    <w:basedOn w:val="1"/>
    <w:qFormat/>
    <w:uiPriority w:val="34"/>
    <w:pPr>
      <w:ind w:firstLine="420" w:firstLineChars="200"/>
    </w:pPr>
  </w:style>
  <w:style w:type="paragraph" w:customStyle="1" w:styleId="27">
    <w:name w:val="章标题"/>
    <w:next w:val="21"/>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2020-05-18T01:18:00Z</dcterms:created>
  <dc:creator>bankcomm</dc:creator>
  <cp:lastModifiedBy>bankcomm</cp:lastModifiedBy>
  <dcterms:modified xsi:type="dcterms:W3CDTF">2020-06-03T03:21:05Z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