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bidi w:val="0"/>
        <w:adjustRightInd/>
        <w:snapToGrid/>
        <w:spacing w:line="560" w:lineRule="exact"/>
        <w:ind w:left="0" w:leftChars="0" w:right="0" w:rightChars="0"/>
        <w:jc w:val="center"/>
        <w:textAlignment w:val="auto"/>
        <w:rPr>
          <w:rFonts w:hint="eastAsia" w:ascii="黑体" w:hAnsi="黑体" w:eastAsia="黑体" w:cs="宋体"/>
          <w:bCs/>
          <w:color w:val="auto"/>
          <w:sz w:val="44"/>
          <w:szCs w:val="44"/>
          <w:lang w:val="en-US" w:eastAsia="zh-CN"/>
        </w:rPr>
      </w:pPr>
    </w:p>
    <w:p>
      <w:pPr>
        <w:pStyle w:val="2"/>
        <w:rPr>
          <w:rFonts w:hint="eastAsia"/>
          <w:lang w:val="en-US" w:eastAsia="zh-CN"/>
        </w:rPr>
      </w:pPr>
    </w:p>
    <w:p>
      <w:pPr>
        <w:keepNext w:val="0"/>
        <w:keepLines w:val="0"/>
        <w:pageBreakBefore w:val="0"/>
        <w:kinsoku/>
        <w:wordWrap/>
        <w:overflowPunct/>
        <w:topLinePunct w:val="0"/>
        <w:bidi w:val="0"/>
        <w:adjustRightInd/>
        <w:snapToGrid/>
        <w:spacing w:line="560" w:lineRule="exact"/>
        <w:ind w:left="0" w:leftChars="0" w:right="0" w:rightChars="0"/>
        <w:jc w:val="center"/>
        <w:textAlignment w:val="auto"/>
        <w:rPr>
          <w:rFonts w:hint="eastAsia" w:ascii="黑体" w:hAnsi="黑体" w:eastAsia="黑体" w:cs="宋体"/>
          <w:bCs/>
          <w:color w:val="auto"/>
          <w:sz w:val="44"/>
          <w:szCs w:val="44"/>
          <w:lang w:val="en-US" w:eastAsia="zh-CN"/>
        </w:rPr>
      </w:pPr>
    </w:p>
    <w:p>
      <w:pPr>
        <w:keepNext w:val="0"/>
        <w:keepLines w:val="0"/>
        <w:pageBreakBefore w:val="0"/>
        <w:kinsoku/>
        <w:wordWrap/>
        <w:overflowPunct/>
        <w:topLinePunct w:val="0"/>
        <w:bidi w:val="0"/>
        <w:adjustRightInd/>
        <w:snapToGrid/>
        <w:spacing w:line="560" w:lineRule="exact"/>
        <w:ind w:left="0" w:leftChars="0" w:right="0" w:rightChars="0"/>
        <w:jc w:val="center"/>
        <w:textAlignment w:val="auto"/>
        <w:rPr>
          <w:rFonts w:hint="eastAsia" w:ascii="黑体" w:hAnsi="黑体" w:eastAsia="黑体" w:cs="宋体"/>
          <w:bCs/>
          <w:color w:val="auto"/>
          <w:sz w:val="44"/>
          <w:szCs w:val="44"/>
          <w:lang w:val="en-US" w:eastAsia="zh-CN"/>
        </w:rPr>
      </w:pPr>
    </w:p>
    <w:p>
      <w:pPr>
        <w:keepNext w:val="0"/>
        <w:keepLines w:val="0"/>
        <w:pageBreakBefore w:val="0"/>
        <w:kinsoku/>
        <w:wordWrap/>
        <w:overflowPunct/>
        <w:topLinePunct w:val="0"/>
        <w:bidi w:val="0"/>
        <w:adjustRightInd/>
        <w:snapToGrid/>
        <w:spacing w:line="560" w:lineRule="exact"/>
        <w:ind w:left="0" w:leftChars="0" w:right="0" w:rightChars="0"/>
        <w:jc w:val="center"/>
        <w:textAlignment w:val="auto"/>
        <w:rPr>
          <w:rFonts w:hint="eastAsia" w:ascii="黑体" w:hAnsi="黑体" w:eastAsia="黑体" w:cs="宋体"/>
          <w:bCs/>
          <w:color w:val="auto"/>
          <w:sz w:val="44"/>
          <w:szCs w:val="44"/>
          <w:lang w:val="en-US" w:eastAsia="zh-CN"/>
        </w:rPr>
      </w:pPr>
    </w:p>
    <w:p>
      <w:pPr>
        <w:keepNext w:val="0"/>
        <w:keepLines w:val="0"/>
        <w:pageBreakBefore w:val="0"/>
        <w:kinsoku/>
        <w:wordWrap/>
        <w:overflowPunct/>
        <w:topLinePunct w:val="0"/>
        <w:bidi w:val="0"/>
        <w:adjustRightInd/>
        <w:snapToGrid/>
        <w:spacing w:line="560" w:lineRule="exact"/>
        <w:ind w:left="0" w:leftChars="0" w:right="0" w:rightChars="0"/>
        <w:jc w:val="center"/>
        <w:textAlignment w:val="auto"/>
        <w:rPr>
          <w:rFonts w:hint="eastAsia" w:ascii="黑体" w:hAnsi="黑体" w:eastAsia="黑体" w:cs="宋体"/>
          <w:bCs/>
          <w:color w:val="auto"/>
          <w:sz w:val="44"/>
          <w:szCs w:val="44"/>
          <w:lang w:val="en-US" w:eastAsia="zh-CN"/>
        </w:rPr>
      </w:pPr>
    </w:p>
    <w:p>
      <w:pPr>
        <w:keepNext w:val="0"/>
        <w:keepLines w:val="0"/>
        <w:pageBreakBefore w:val="0"/>
        <w:kinsoku/>
        <w:wordWrap/>
        <w:overflowPunct/>
        <w:topLinePunct w:val="0"/>
        <w:bidi w:val="0"/>
        <w:adjustRightInd/>
        <w:snapToGrid/>
        <w:spacing w:line="560" w:lineRule="exact"/>
        <w:ind w:left="0" w:leftChars="0" w:right="0" w:rightChars="0"/>
        <w:jc w:val="center"/>
        <w:textAlignment w:val="auto"/>
        <w:rPr>
          <w:rFonts w:hint="eastAsia" w:ascii="黑体" w:hAnsi="黑体" w:eastAsia="黑体" w:cs="宋体"/>
          <w:bCs/>
          <w:color w:val="auto"/>
          <w:sz w:val="44"/>
          <w:szCs w:val="44"/>
          <w:lang w:val="en-US" w:eastAsia="zh-CN"/>
        </w:rPr>
      </w:pPr>
    </w:p>
    <w:p>
      <w:pPr>
        <w:keepNext w:val="0"/>
        <w:keepLines w:val="0"/>
        <w:pageBreakBefore w:val="0"/>
        <w:kinsoku/>
        <w:wordWrap/>
        <w:overflowPunct/>
        <w:topLinePunct w:val="0"/>
        <w:bidi w:val="0"/>
        <w:adjustRightInd/>
        <w:snapToGrid/>
        <w:spacing w:line="560" w:lineRule="exact"/>
        <w:ind w:left="0" w:leftChars="0" w:right="0" w:rightChars="0"/>
        <w:jc w:val="both"/>
        <w:textAlignment w:val="auto"/>
        <w:rPr>
          <w:rFonts w:hint="eastAsia" w:ascii="黑体" w:hAnsi="黑体" w:eastAsia="黑体" w:cs="宋体"/>
          <w:bCs/>
          <w:color w:val="auto"/>
          <w:sz w:val="44"/>
          <w:szCs w:val="44"/>
          <w:lang w:val="en-US" w:eastAsia="zh-CN"/>
        </w:rPr>
      </w:pPr>
    </w:p>
    <w:p>
      <w:pPr>
        <w:keepNext w:val="0"/>
        <w:keepLines w:val="0"/>
        <w:pageBreakBefore w:val="0"/>
        <w:kinsoku/>
        <w:wordWrap/>
        <w:overflowPunct/>
        <w:topLinePunct w:val="0"/>
        <w:bidi w:val="0"/>
        <w:adjustRightInd/>
        <w:snapToGrid/>
        <w:spacing w:line="560" w:lineRule="exact"/>
        <w:ind w:left="0" w:leftChars="0" w:right="0" w:rightChars="0"/>
        <w:jc w:val="center"/>
        <w:textAlignment w:val="auto"/>
        <w:rPr>
          <w:rFonts w:hint="eastAsia" w:ascii="黑体" w:hAnsi="黑体" w:eastAsia="黑体" w:cs="宋体"/>
          <w:bCs/>
          <w:color w:val="auto"/>
          <w:sz w:val="44"/>
          <w:szCs w:val="44"/>
          <w:lang w:val="en-US" w:eastAsia="zh-CN"/>
        </w:rPr>
      </w:pPr>
    </w:p>
    <w:p>
      <w:pPr>
        <w:keepNext w:val="0"/>
        <w:keepLines w:val="0"/>
        <w:pageBreakBefore w:val="0"/>
        <w:kinsoku/>
        <w:wordWrap/>
        <w:overflowPunct/>
        <w:topLinePunct w:val="0"/>
        <w:bidi w:val="0"/>
        <w:adjustRightInd/>
        <w:snapToGrid/>
        <w:spacing w:line="560" w:lineRule="exact"/>
        <w:ind w:left="0" w:leftChars="0" w:right="0" w:rightChars="0"/>
        <w:jc w:val="center"/>
        <w:textAlignment w:val="auto"/>
        <w:rPr>
          <w:rFonts w:hint="eastAsia" w:ascii="黑体" w:hAnsi="黑体" w:eastAsia="黑体" w:cs="宋体"/>
          <w:bCs/>
          <w:color w:val="auto"/>
          <w:sz w:val="44"/>
          <w:szCs w:val="44"/>
          <w:lang w:val="zh-CN"/>
        </w:rPr>
      </w:pPr>
      <w:r>
        <w:rPr>
          <w:rFonts w:hint="eastAsia" w:ascii="黑体" w:hAnsi="黑体" w:eastAsia="黑体" w:cs="宋体"/>
          <w:bCs/>
          <w:color w:val="auto"/>
          <w:sz w:val="44"/>
          <w:szCs w:val="44"/>
          <w:lang w:val="en-US" w:eastAsia="zh-CN"/>
        </w:rPr>
        <w:t>交通银行股份有限公司湖州分行</w:t>
      </w:r>
      <w:r>
        <w:rPr>
          <w:rFonts w:hint="eastAsia" w:ascii="黑体" w:hAnsi="黑体" w:eastAsia="黑体" w:cs="宋体"/>
          <w:bCs/>
          <w:color w:val="auto"/>
          <w:sz w:val="44"/>
          <w:szCs w:val="44"/>
          <w:lang w:val="zh-CN"/>
        </w:rPr>
        <w:t>20</w:t>
      </w:r>
      <w:r>
        <w:rPr>
          <w:rFonts w:hint="eastAsia" w:ascii="黑体" w:hAnsi="黑体" w:eastAsia="黑体" w:cs="宋体"/>
          <w:bCs/>
          <w:color w:val="auto"/>
          <w:sz w:val="44"/>
          <w:szCs w:val="44"/>
          <w:lang w:val="en-US" w:eastAsia="zh-CN"/>
        </w:rPr>
        <w:t>24</w:t>
      </w:r>
      <w:r>
        <w:rPr>
          <w:rFonts w:hint="eastAsia" w:ascii="黑体" w:hAnsi="黑体" w:eastAsia="黑体" w:cs="宋体"/>
          <w:bCs/>
          <w:color w:val="auto"/>
          <w:sz w:val="44"/>
          <w:szCs w:val="44"/>
          <w:lang w:val="zh-CN"/>
        </w:rPr>
        <w:t>年度</w:t>
      </w:r>
      <w:r>
        <w:rPr>
          <w:rFonts w:hint="eastAsia" w:ascii="黑体" w:hAnsi="黑体" w:eastAsia="黑体" w:cs="宋体"/>
          <w:bCs/>
          <w:color w:val="auto"/>
          <w:sz w:val="44"/>
          <w:szCs w:val="44"/>
          <w:lang w:val="en-US" w:eastAsia="zh-CN"/>
        </w:rPr>
        <w:t>可持续</w:t>
      </w:r>
      <w:r>
        <w:rPr>
          <w:rFonts w:hint="eastAsia" w:ascii="黑体" w:hAnsi="黑体" w:eastAsia="黑体" w:cs="宋体"/>
          <w:bCs/>
          <w:color w:val="auto"/>
          <w:sz w:val="44"/>
          <w:szCs w:val="44"/>
          <w:lang w:val="zh-CN"/>
        </w:rPr>
        <w:t>信息披露报告</w:t>
      </w:r>
    </w:p>
    <w:p>
      <w:pPr>
        <w:keepNext w:val="0"/>
        <w:keepLines w:val="0"/>
        <w:pageBreakBefore w:val="0"/>
        <w:kinsoku/>
        <w:wordWrap/>
        <w:overflowPunct/>
        <w:topLinePunct w:val="0"/>
        <w:bidi w:val="0"/>
        <w:adjustRightInd/>
        <w:snapToGrid/>
        <w:spacing w:line="560" w:lineRule="exact"/>
        <w:ind w:left="0" w:leftChars="0" w:right="0" w:rightChars="0"/>
        <w:jc w:val="both"/>
        <w:textAlignment w:val="auto"/>
        <w:rPr>
          <w:rFonts w:hint="eastAsia" w:ascii="黑体" w:hAnsi="黑体" w:eastAsia="黑体" w:cs="宋体"/>
          <w:bCs/>
          <w:color w:val="auto"/>
          <w:sz w:val="44"/>
          <w:szCs w:val="44"/>
          <w:lang w:val="en-US" w:eastAsia="zh-CN"/>
        </w:rPr>
      </w:pPr>
    </w:p>
    <w:p>
      <w:pPr>
        <w:pStyle w:val="2"/>
        <w:rPr>
          <w:rFonts w:hint="eastAsia" w:ascii="黑体" w:hAnsi="黑体" w:eastAsia="黑体" w:cs="宋体"/>
          <w:bCs/>
          <w:color w:val="auto"/>
          <w:sz w:val="44"/>
          <w:szCs w:val="44"/>
          <w:lang w:val="en-US" w:eastAsia="zh-CN"/>
        </w:rPr>
      </w:pPr>
    </w:p>
    <w:p>
      <w:pPr>
        <w:pStyle w:val="2"/>
        <w:ind w:left="0" w:leftChars="0" w:firstLine="0" w:firstLineChars="0"/>
        <w:rPr>
          <w:rFonts w:hint="eastAsia" w:ascii="黑体" w:hAnsi="黑体" w:eastAsia="黑体" w:cs="宋体"/>
          <w:bCs/>
          <w:color w:val="auto"/>
          <w:sz w:val="44"/>
          <w:szCs w:val="44"/>
          <w:lang w:val="en-US" w:eastAsia="zh-CN"/>
        </w:rPr>
      </w:pPr>
    </w:p>
    <w:p>
      <w:pPr>
        <w:pStyle w:val="2"/>
        <w:ind w:left="0" w:leftChars="0" w:firstLine="0" w:firstLineChars="0"/>
        <w:rPr>
          <w:rFonts w:hint="eastAsia" w:ascii="黑体" w:hAnsi="黑体" w:eastAsia="黑体" w:cs="宋体"/>
          <w:bCs/>
          <w:color w:val="auto"/>
          <w:sz w:val="44"/>
          <w:szCs w:val="44"/>
          <w:lang w:val="en-US" w:eastAsia="zh-CN"/>
        </w:rPr>
      </w:pPr>
      <w:r>
        <w:rPr>
          <w:rFonts w:hint="eastAsia" w:ascii="黑体" w:hAnsi="黑体" w:eastAsia="黑体" w:cs="宋体"/>
          <w:bCs/>
          <w:color w:val="auto"/>
          <w:sz w:val="44"/>
          <w:szCs w:val="44"/>
          <w:lang w:val="en-US" w:eastAsia="zh-CN"/>
        </w:rPr>
        <w:t xml:space="preserve">             2024年5月</w:t>
      </w:r>
    </w:p>
    <w:p>
      <w:pPr>
        <w:pStyle w:val="2"/>
        <w:ind w:left="0" w:leftChars="0" w:firstLine="0" w:firstLineChars="0"/>
        <w:rPr>
          <w:rFonts w:hint="eastAsia" w:ascii="黑体" w:hAnsi="黑体" w:eastAsia="黑体" w:cs="宋体"/>
          <w:bCs/>
          <w:color w:val="auto"/>
          <w:sz w:val="44"/>
          <w:szCs w:val="44"/>
          <w:lang w:val="en-US" w:eastAsia="zh-CN"/>
        </w:rPr>
      </w:pPr>
    </w:p>
    <w:p>
      <w:pPr>
        <w:pStyle w:val="2"/>
        <w:ind w:left="0" w:leftChars="0" w:firstLine="0" w:firstLineChars="0"/>
        <w:rPr>
          <w:rFonts w:hint="eastAsia" w:ascii="黑体" w:hAnsi="黑体" w:eastAsia="黑体" w:cs="宋体"/>
          <w:bCs/>
          <w:color w:val="auto"/>
          <w:sz w:val="44"/>
          <w:szCs w:val="44"/>
          <w:lang w:val="en-US" w:eastAsia="zh-CN"/>
        </w:rPr>
      </w:pPr>
    </w:p>
    <w:p>
      <w:pPr>
        <w:pStyle w:val="2"/>
        <w:ind w:left="0" w:leftChars="0" w:firstLine="0" w:firstLineChars="0"/>
        <w:rPr>
          <w:rFonts w:hint="eastAsia" w:ascii="黑体" w:hAnsi="黑体" w:eastAsia="黑体" w:cs="宋体"/>
          <w:bCs/>
          <w:color w:val="auto"/>
          <w:sz w:val="44"/>
          <w:szCs w:val="44"/>
          <w:lang w:val="en-US" w:eastAsia="zh-CN"/>
        </w:rPr>
      </w:pPr>
    </w:p>
    <w:p>
      <w:pPr>
        <w:pStyle w:val="2"/>
        <w:ind w:left="0" w:leftChars="0" w:firstLine="0" w:firstLineChars="0"/>
        <w:rPr>
          <w:rFonts w:hint="eastAsia" w:ascii="黑体" w:hAnsi="黑体" w:eastAsia="黑体" w:cs="宋体"/>
          <w:bCs/>
          <w:color w:val="auto"/>
          <w:sz w:val="44"/>
          <w:szCs w:val="44"/>
          <w:lang w:val="en-US" w:eastAsia="zh-CN"/>
        </w:rPr>
      </w:pPr>
    </w:p>
    <w:p>
      <w:pPr>
        <w:pStyle w:val="2"/>
        <w:ind w:left="0" w:leftChars="0" w:firstLine="0" w:firstLineChars="0"/>
        <w:rPr>
          <w:rFonts w:hint="eastAsia" w:ascii="黑体" w:hAnsi="黑体" w:eastAsia="黑体" w:cs="宋体"/>
          <w:bCs/>
          <w:color w:val="auto"/>
          <w:sz w:val="44"/>
          <w:szCs w:val="44"/>
          <w:lang w:val="en-US" w:eastAsia="zh-CN"/>
        </w:rPr>
      </w:pPr>
    </w:p>
    <w:p>
      <w:pPr>
        <w:pStyle w:val="4"/>
        <w:rPr>
          <w:rFonts w:hint="eastAsia" w:ascii="黑体" w:hAnsi="黑体" w:eastAsia="黑体" w:cs="宋体"/>
          <w:bCs/>
          <w:color w:val="auto"/>
          <w:sz w:val="44"/>
          <w:szCs w:val="44"/>
          <w:lang w:val="en-US" w:eastAsia="zh-CN"/>
        </w:rPr>
      </w:pPr>
    </w:p>
    <w:p>
      <w:pPr>
        <w:pStyle w:val="4"/>
        <w:rPr>
          <w:rFonts w:hint="eastAsia" w:ascii="黑体" w:hAnsi="黑体" w:eastAsia="黑体" w:cs="宋体"/>
          <w:bCs/>
          <w:color w:val="auto"/>
          <w:sz w:val="44"/>
          <w:szCs w:val="44"/>
          <w:lang w:val="en-US" w:eastAsia="zh-CN"/>
        </w:rPr>
      </w:pPr>
    </w:p>
    <w:p>
      <w:pPr>
        <w:pStyle w:val="2"/>
        <w:ind w:left="0" w:leftChars="0" w:firstLine="0" w:firstLineChars="0"/>
        <w:rPr>
          <w:rFonts w:hint="eastAsia" w:ascii="黑体" w:hAnsi="黑体" w:eastAsia="黑体" w:cs="宋体"/>
          <w:bCs/>
          <w:color w:val="auto"/>
          <w:sz w:val="44"/>
          <w:szCs w:val="44"/>
          <w:lang w:val="en-US" w:eastAsia="zh-CN"/>
        </w:rPr>
      </w:pPr>
    </w:p>
    <w:p>
      <w:pPr>
        <w:pStyle w:val="2"/>
        <w:ind w:left="0" w:leftChars="0" w:firstLine="0" w:firstLineChars="0"/>
        <w:rPr>
          <w:rFonts w:hint="eastAsia" w:ascii="黑体" w:hAnsi="黑体" w:eastAsia="黑体" w:cs="宋体"/>
          <w:bCs/>
          <w:color w:val="auto"/>
          <w:sz w:val="44"/>
          <w:szCs w:val="44"/>
          <w:lang w:val="en-US" w:eastAsia="zh-CN"/>
        </w:rPr>
      </w:pPr>
      <w:r>
        <w:rPr>
          <w:rFonts w:hint="eastAsia" w:ascii="黑体" w:hAnsi="黑体" w:eastAsia="黑体" w:cs="宋体"/>
          <w:bCs/>
          <w:color w:val="auto"/>
          <w:sz w:val="44"/>
          <w:szCs w:val="44"/>
          <w:lang w:val="en-US" w:eastAsia="zh-CN"/>
        </w:rPr>
        <w:t xml:space="preserve">                目录</w:t>
      </w:r>
    </w:p>
    <w:p>
      <w:pPr>
        <w:pStyle w:val="2"/>
        <w:ind w:left="0" w:leftChars="0" w:firstLine="0" w:firstLineChars="0"/>
        <w:rPr>
          <w:rFonts w:hint="eastAsia" w:ascii="黑体" w:hAnsi="黑体" w:eastAsia="黑体" w:cs="宋体"/>
          <w:bCs/>
          <w:color w:val="auto"/>
          <w:sz w:val="44"/>
          <w:szCs w:val="44"/>
          <w:lang w:val="en-US" w:eastAsia="zh-CN"/>
        </w:rPr>
      </w:pP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asciiTheme="minorHAnsi" w:hAnsiTheme="minorHAnsi" w:eastAsiaTheme="minorEastAsia" w:cstheme="minorBidi"/>
          <w:kern w:val="2"/>
          <w:sz w:val="20"/>
          <w:szCs w:val="20"/>
          <w:lang w:val="en-US" w:eastAsia="zh-CN" w:bidi="ar-SA"/>
        </w:rPr>
      </w:pPr>
      <w:r>
        <w:rPr>
          <w:rFonts w:hint="eastAsia" w:ascii="黑体" w:hAnsi="黑体" w:eastAsia="黑体" w:cs="宋体"/>
          <w:bCs/>
          <w:color w:val="auto"/>
          <w:sz w:val="44"/>
          <w:szCs w:val="44"/>
          <w:lang w:val="en-US" w:eastAsia="zh-CN"/>
        </w:rPr>
        <w:fldChar w:fldCharType="begin"/>
      </w:r>
      <w:r>
        <w:rPr>
          <w:rFonts w:hint="eastAsia" w:ascii="黑体" w:hAnsi="黑体" w:eastAsia="黑体" w:cs="宋体"/>
          <w:bCs/>
          <w:color w:val="auto"/>
          <w:sz w:val="44"/>
          <w:szCs w:val="44"/>
          <w:lang w:val="en-US" w:eastAsia="zh-CN"/>
        </w:rPr>
        <w:instrText xml:space="preserve">TOC \o "1-3" \h \u </w:instrText>
      </w:r>
      <w:r>
        <w:rPr>
          <w:rFonts w:hint="eastAsia" w:ascii="黑体" w:hAnsi="黑体" w:eastAsia="黑体" w:cs="宋体"/>
          <w:bCs/>
          <w:color w:val="auto"/>
          <w:sz w:val="44"/>
          <w:szCs w:val="44"/>
          <w:lang w:val="en-US" w:eastAsia="zh-CN"/>
        </w:rPr>
        <w:fldChar w:fldCharType="separate"/>
      </w: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_Toc24417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关于本报告</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4</w:t>
      </w:r>
      <w:r>
        <w:rPr>
          <w:rFonts w:hint="eastAsia" w:ascii="黑体" w:hAnsi="黑体" w:eastAsia="黑体" w:cs="宋体"/>
          <w:bCs/>
          <w:color w:val="auto"/>
          <w:kern w:val="2"/>
          <w:sz w:val="20"/>
          <w:szCs w:val="20"/>
          <w:lang w:val="en-US" w:eastAsia="zh-CN" w:bidi="ar-SA"/>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heme="minorHAnsi" w:hAnsiTheme="minorHAnsi" w:eastAsiaTheme="minorEastAsia" w:cstheme="minorBidi"/>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_Toc23346 </w:instrText>
      </w:r>
      <w:r>
        <w:rPr>
          <w:rFonts w:hint="eastAsia" w:ascii="黑体" w:hAnsi="黑体" w:eastAsia="黑体" w:cs="宋体"/>
          <w:bCs/>
          <w:color w:val="auto"/>
          <w:kern w:val="2"/>
          <w:sz w:val="20"/>
          <w:szCs w:val="20"/>
          <w:lang w:val="en-US" w:eastAsia="zh-CN" w:bidi="ar-SA"/>
        </w:rPr>
        <w:fldChar w:fldCharType="separate"/>
      </w:r>
      <w:r>
        <w:rPr>
          <w:rFonts w:hint="eastAsia" w:asciiTheme="minorHAnsi" w:hAnsiTheme="minorHAnsi" w:eastAsiaTheme="minorEastAsia" w:cstheme="minorBidi"/>
          <w:kern w:val="2"/>
          <w:sz w:val="20"/>
          <w:szCs w:val="20"/>
          <w:lang w:val="en-US" w:eastAsia="zh-CN" w:bidi="ar-SA"/>
        </w:rPr>
        <w:t>涵盖期间 </w:t>
      </w:r>
      <w:r>
        <w:rPr>
          <w:rFonts w:asciiTheme="minorHAnsi" w:hAnsiTheme="minorHAnsi" w:eastAsiaTheme="minorEastAsia" w:cstheme="minorBidi"/>
          <w:kern w:val="2"/>
          <w:sz w:val="20"/>
          <w:szCs w:val="20"/>
          <w:lang w:val="en-US" w:eastAsia="zh-CN" w:bidi="ar-SA"/>
        </w:rPr>
        <w:tab/>
      </w:r>
      <w:r>
        <w:rPr>
          <w:rFonts w:hint="eastAsia" w:ascii="黑体" w:hAnsi="Times New Roman" w:eastAsia="黑体" w:cs="Times New Roman"/>
          <w:bCs w:val="0"/>
          <w:i w:val="0"/>
          <w:iCs w:val="0"/>
          <w:caps w:val="0"/>
          <w:strike w:val="0"/>
          <w:dstrike w:val="0"/>
          <w:vanish w:val="0"/>
          <w:color w:val="auto"/>
          <w:spacing w:val="0"/>
          <w:kern w:val="0"/>
          <w:position w:val="0"/>
          <w:sz w:val="20"/>
          <w:szCs w:val="20"/>
          <w:u w:val="none"/>
          <w:vertAlign w:val="baseline"/>
          <w:lang w:val="en-US" w:eastAsia="zh-CN" w:bidi="ar-SA"/>
        </w:rPr>
        <w:fldChar w:fldCharType="end"/>
      </w:r>
      <w:r>
        <w:rPr>
          <w:rFonts w:hint="eastAsia" w:ascii="黑体" w:hAnsi="Times New Roman" w:eastAsia="黑体" w:cs="Times New Roman"/>
          <w:bCs w:val="0"/>
          <w:i w:val="0"/>
          <w:iCs w:val="0"/>
          <w:caps w:val="0"/>
          <w:strike w:val="0"/>
          <w:dstrike w:val="0"/>
          <w:vanish w:val="0"/>
          <w:color w:val="auto"/>
          <w:spacing w:val="0"/>
          <w:kern w:val="0"/>
          <w:position w:val="0"/>
          <w:sz w:val="20"/>
          <w:szCs w:val="20"/>
          <w:u w:val="none"/>
          <w:vertAlign w:val="baseline"/>
          <w:lang w:val="en-US" w:eastAsia="zh-CN" w:bidi="ar-SA"/>
        </w:rPr>
        <w:t>4</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_Toc3031 </w:instrText>
      </w:r>
      <w:r>
        <w:rPr>
          <w:rFonts w:hint="eastAsia" w:asciiTheme="minorHAnsi" w:hAnsiTheme="minorHAnsi" w:eastAsiaTheme="minorEastAsia" w:cstheme="minorBidi"/>
          <w:kern w:val="2"/>
          <w:sz w:val="20"/>
          <w:szCs w:val="20"/>
          <w:lang w:val="en-US" w:eastAsia="zh-CN" w:bidi="ar-SA"/>
        </w:rPr>
        <w:fldChar w:fldCharType="separate"/>
      </w:r>
      <w:r>
        <w:rPr>
          <w:rFonts w:hint="eastAsia" w:asciiTheme="minorHAnsi" w:hAnsiTheme="minorHAnsi" w:eastAsiaTheme="minorEastAsia" w:cstheme="minorBidi"/>
          <w:kern w:val="2"/>
          <w:sz w:val="20"/>
          <w:szCs w:val="20"/>
          <w:lang w:val="en-US" w:eastAsia="zh-CN" w:bidi="ar-SA"/>
        </w:rPr>
        <w:t>报告周期</w:t>
      </w:r>
      <w:r>
        <w:rPr>
          <w:rFonts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4</w:t>
      </w:r>
      <w:r>
        <w:rPr>
          <w:rFonts w:hint="eastAsia" w:asciiTheme="minorHAnsi" w:hAnsiTheme="minorHAnsi" w:eastAsiaTheme="minorEastAsia" w:cstheme="minorBidi"/>
          <w:kern w:val="2"/>
          <w:sz w:val="20"/>
          <w:szCs w:val="20"/>
          <w:lang w:val="en-US" w:eastAsia="zh-CN" w:bidi="ar-SA"/>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_Toc1810 </w:instrText>
      </w:r>
      <w:r>
        <w:rPr>
          <w:rFonts w:hint="eastAsia" w:asciiTheme="minorHAnsi" w:hAnsiTheme="minorHAnsi" w:eastAsiaTheme="minorEastAsia" w:cstheme="minorBidi"/>
          <w:kern w:val="2"/>
          <w:sz w:val="20"/>
          <w:szCs w:val="20"/>
          <w:lang w:val="en-US" w:eastAsia="zh-CN" w:bidi="ar-SA"/>
        </w:rPr>
        <w:fldChar w:fldCharType="separate"/>
      </w:r>
      <w:r>
        <w:rPr>
          <w:rFonts w:hint="eastAsia" w:asciiTheme="minorHAnsi" w:hAnsiTheme="minorHAnsi" w:eastAsiaTheme="minorEastAsia" w:cstheme="minorBidi"/>
          <w:kern w:val="2"/>
          <w:sz w:val="20"/>
          <w:szCs w:val="20"/>
          <w:lang w:val="en-US" w:eastAsia="zh-CN" w:bidi="ar-SA"/>
        </w:rPr>
        <w:t>报告范围</w:t>
      </w:r>
      <w:r>
        <w:rPr>
          <w:rFonts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4</w:t>
      </w:r>
      <w:r>
        <w:rPr>
          <w:rFonts w:hint="eastAsia" w:asciiTheme="minorHAnsi" w:hAnsiTheme="minorHAnsi" w:eastAsiaTheme="minorEastAsia" w:cstheme="minorBidi"/>
          <w:kern w:val="2"/>
          <w:sz w:val="20"/>
          <w:szCs w:val="20"/>
          <w:lang w:val="en-US" w:eastAsia="zh-CN" w:bidi="ar-SA"/>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_Toc2258 </w:instrText>
      </w:r>
      <w:r>
        <w:rPr>
          <w:rFonts w:hint="eastAsia" w:asciiTheme="minorHAnsi" w:hAnsiTheme="minorHAnsi" w:eastAsiaTheme="minorEastAsia" w:cstheme="minorBidi"/>
          <w:kern w:val="2"/>
          <w:sz w:val="20"/>
          <w:szCs w:val="20"/>
          <w:lang w:val="en-US" w:eastAsia="zh-CN" w:bidi="ar-SA"/>
        </w:rPr>
        <w:fldChar w:fldCharType="separate"/>
      </w:r>
      <w:r>
        <w:rPr>
          <w:rFonts w:hint="eastAsia" w:asciiTheme="minorHAnsi" w:hAnsiTheme="minorHAnsi" w:eastAsiaTheme="minorEastAsia" w:cstheme="minorBidi"/>
          <w:kern w:val="2"/>
          <w:sz w:val="20"/>
          <w:szCs w:val="20"/>
          <w:lang w:val="en-US" w:eastAsia="zh-CN" w:bidi="ar-SA"/>
        </w:rPr>
        <w:t>报告数据说明</w:t>
      </w:r>
      <w:r>
        <w:rPr>
          <w:rFonts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5</w:t>
      </w:r>
      <w:r>
        <w:rPr>
          <w:rFonts w:hint="eastAsia" w:asciiTheme="minorHAnsi" w:hAnsiTheme="minorHAnsi" w:eastAsiaTheme="minorEastAsia" w:cstheme="minorBidi"/>
          <w:kern w:val="2"/>
          <w:sz w:val="20"/>
          <w:szCs w:val="20"/>
          <w:lang w:val="en-US" w:eastAsia="zh-CN" w:bidi="ar-SA"/>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_Toc6251 </w:instrText>
      </w:r>
      <w:r>
        <w:rPr>
          <w:rFonts w:hint="eastAsia" w:asciiTheme="minorHAnsi" w:hAnsiTheme="minorHAnsi" w:eastAsiaTheme="minorEastAsia" w:cstheme="minorBidi"/>
          <w:kern w:val="2"/>
          <w:sz w:val="20"/>
          <w:szCs w:val="20"/>
          <w:lang w:val="en-US" w:eastAsia="zh-CN" w:bidi="ar-SA"/>
        </w:rPr>
        <w:fldChar w:fldCharType="separate"/>
      </w:r>
      <w:r>
        <w:rPr>
          <w:rFonts w:hint="eastAsia" w:asciiTheme="minorHAnsi" w:hAnsiTheme="minorHAnsi" w:eastAsiaTheme="minorEastAsia" w:cstheme="minorBidi"/>
          <w:kern w:val="2"/>
          <w:sz w:val="20"/>
          <w:szCs w:val="20"/>
          <w:lang w:val="en-US" w:eastAsia="zh-CN" w:bidi="ar-SA"/>
        </w:rPr>
        <w:t>编制依据</w:t>
      </w:r>
      <w:r>
        <w:rPr>
          <w:rFonts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5</w:t>
      </w:r>
      <w:r>
        <w:rPr>
          <w:rFonts w:hint="eastAsia" w:asciiTheme="minorHAnsi" w:hAnsiTheme="minorHAnsi" w:eastAsiaTheme="minorEastAsia" w:cstheme="minorBidi"/>
          <w:kern w:val="2"/>
          <w:sz w:val="20"/>
          <w:szCs w:val="20"/>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_Toc7555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1 年度概况</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6</w:t>
      </w:r>
      <w:r>
        <w:rPr>
          <w:rFonts w:hint="eastAsia" w:ascii="黑体" w:hAnsi="黑体" w:eastAsia="黑体" w:cs="宋体"/>
          <w:bCs/>
          <w:color w:val="auto"/>
          <w:kern w:val="2"/>
          <w:sz w:val="20"/>
          <w:szCs w:val="20"/>
          <w:lang w:val="en-US" w:eastAsia="zh-CN" w:bidi="ar-SA"/>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_Toc23364 </w:instrText>
      </w:r>
      <w:r>
        <w:rPr>
          <w:rFonts w:hint="eastAsia" w:asciiTheme="minorHAnsi" w:hAnsiTheme="minorHAnsi" w:eastAsiaTheme="minorEastAsia" w:cstheme="minorBidi"/>
          <w:kern w:val="2"/>
          <w:sz w:val="20"/>
          <w:szCs w:val="20"/>
          <w:lang w:val="en-US" w:eastAsia="zh-CN" w:bidi="ar-SA"/>
        </w:rPr>
        <w:fldChar w:fldCharType="separate"/>
      </w:r>
      <w:r>
        <w:rPr>
          <w:rFonts w:hint="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en-US" w:eastAsia="zh-CN" w:bidi="ar-SA"/>
        </w:rPr>
        <w:t>.1 总体概况</w:t>
      </w:r>
      <w:r>
        <w:rPr>
          <w:rFonts w:asciiTheme="minorHAnsi" w:hAnsiTheme="minorHAnsi" w:eastAsiaTheme="minorEastAsia" w:cstheme="minorBidi"/>
          <w:kern w:val="2"/>
          <w:sz w:val="20"/>
          <w:szCs w:val="20"/>
          <w:lang w:val="en-US" w:eastAsia="zh-CN" w:bidi="ar-SA"/>
        </w:rPr>
        <w:tab/>
      </w:r>
      <w:r>
        <w:rPr>
          <w:rFonts w:hint="eastAsia" w:cstheme="minorBidi"/>
          <w:kern w:val="2"/>
          <w:sz w:val="20"/>
          <w:szCs w:val="20"/>
          <w:lang w:val="en-US" w:eastAsia="zh-CN" w:bidi="ar-SA"/>
        </w:rPr>
        <w:t>6</w:t>
      </w:r>
      <w:r>
        <w:rPr>
          <w:rFonts w:hint="eastAsia" w:asciiTheme="minorHAnsi" w:hAnsiTheme="minorHAnsi" w:eastAsiaTheme="minorEastAsia" w:cstheme="minorBidi"/>
          <w:kern w:val="2"/>
          <w:sz w:val="20"/>
          <w:szCs w:val="20"/>
          <w:lang w:val="en-US" w:eastAsia="zh-CN" w:bidi="ar-SA"/>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_Toc16598 </w:instrText>
      </w:r>
      <w:r>
        <w:rPr>
          <w:rFonts w:hint="eastAsia" w:asciiTheme="minorHAnsi" w:hAnsiTheme="minorHAnsi" w:eastAsiaTheme="minorEastAsia" w:cstheme="minorBidi"/>
          <w:kern w:val="2"/>
          <w:sz w:val="20"/>
          <w:szCs w:val="20"/>
          <w:lang w:val="en-US" w:eastAsia="zh-CN" w:bidi="ar-SA"/>
        </w:rPr>
        <w:fldChar w:fldCharType="separate"/>
      </w:r>
      <w:r>
        <w:rPr>
          <w:rFonts w:hint="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en-US" w:eastAsia="zh-CN" w:bidi="ar-SA"/>
        </w:rPr>
        <w:t>.2 规划与目标</w:t>
      </w:r>
      <w:r>
        <w:rPr>
          <w:rFonts w:asciiTheme="minorHAnsi" w:hAnsiTheme="minorHAnsi" w:eastAsiaTheme="minorEastAsia" w:cstheme="minorBidi"/>
          <w:kern w:val="2"/>
          <w:sz w:val="20"/>
          <w:szCs w:val="20"/>
          <w:lang w:val="en-US" w:eastAsia="zh-CN" w:bidi="ar-SA"/>
        </w:rPr>
        <w:tab/>
      </w:r>
      <w:r>
        <w:rPr>
          <w:rFonts w:hint="eastAsia" w:cstheme="minorBidi"/>
          <w:kern w:val="2"/>
          <w:sz w:val="20"/>
          <w:szCs w:val="20"/>
          <w:lang w:val="en-US" w:eastAsia="zh-CN" w:bidi="ar-SA"/>
        </w:rPr>
        <w:t>8</w:t>
      </w:r>
      <w:r>
        <w:rPr>
          <w:rFonts w:hint="eastAsia" w:asciiTheme="minorHAnsi" w:hAnsiTheme="minorHAnsi" w:eastAsiaTheme="minorEastAsia" w:cstheme="minorBidi"/>
          <w:kern w:val="2"/>
          <w:sz w:val="20"/>
          <w:szCs w:val="20"/>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_Toc25039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2 金融机构环境相关治理结构</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9</w:t>
      </w:r>
      <w:r>
        <w:rPr>
          <w:rFonts w:hint="eastAsia" w:ascii="黑体" w:hAnsi="黑体" w:eastAsia="黑体" w:cs="宋体"/>
          <w:bCs/>
          <w:color w:val="auto"/>
          <w:kern w:val="2"/>
          <w:sz w:val="20"/>
          <w:szCs w:val="20"/>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_Toc16201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3 金融机构环境相关政策制度</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10</w:t>
      </w:r>
      <w:r>
        <w:rPr>
          <w:rFonts w:hint="eastAsia" w:ascii="黑体" w:hAnsi="黑体" w:eastAsia="黑体" w:cs="宋体"/>
          <w:bCs/>
          <w:color w:val="auto"/>
          <w:kern w:val="2"/>
          <w:sz w:val="20"/>
          <w:szCs w:val="20"/>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t>4 金融机构环境相关产品与服务创新</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13</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_Toc1373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5 金融机构环境风险管理流程</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1</w:t>
      </w:r>
      <w:r>
        <w:rPr>
          <w:rFonts w:hint="eastAsia" w:ascii="黑体" w:hAnsi="黑体" w:eastAsia="黑体" w:cs="宋体"/>
          <w:bCs/>
          <w:color w:val="auto"/>
          <w:kern w:val="2"/>
          <w:sz w:val="20"/>
          <w:szCs w:val="20"/>
          <w:lang w:val="en-US" w:eastAsia="zh-CN" w:bidi="ar-SA"/>
        </w:rPr>
        <w:fldChar w:fldCharType="end"/>
      </w:r>
      <w:r>
        <w:rPr>
          <w:rFonts w:hint="eastAsia" w:ascii="黑体" w:hAnsi="黑体" w:eastAsia="黑体" w:cs="宋体"/>
          <w:bCs/>
          <w:color w:val="auto"/>
          <w:kern w:val="2"/>
          <w:sz w:val="20"/>
          <w:szCs w:val="20"/>
          <w:lang w:val="en-US" w:eastAsia="zh-CN" w:bidi="ar-SA"/>
        </w:rPr>
        <w:t>3</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_Toc30854 </w:instrText>
      </w:r>
      <w:r>
        <w:rPr>
          <w:rFonts w:hint="eastAsia" w:asciiTheme="minorHAnsi" w:hAnsiTheme="minorHAnsi" w:eastAsiaTheme="minorEastAsia" w:cstheme="minorBidi"/>
          <w:kern w:val="2"/>
          <w:sz w:val="20"/>
          <w:szCs w:val="20"/>
          <w:lang w:val="en-US" w:eastAsia="zh-CN" w:bidi="ar-SA"/>
        </w:rPr>
        <w:fldChar w:fldCharType="separate"/>
      </w:r>
      <w:r>
        <w:rPr>
          <w:rFonts w:hint="eastAsia" w:cstheme="minorBidi"/>
          <w:kern w:val="2"/>
          <w:sz w:val="20"/>
          <w:szCs w:val="20"/>
          <w:lang w:val="en-US" w:eastAsia="zh-CN" w:bidi="ar-SA"/>
        </w:rPr>
        <w:t>5</w:t>
      </w:r>
      <w:r>
        <w:rPr>
          <w:rFonts w:hint="eastAsia" w:asciiTheme="minorHAnsi" w:hAnsiTheme="minorHAnsi" w:eastAsiaTheme="minorEastAsia" w:cstheme="minorBidi"/>
          <w:kern w:val="2"/>
          <w:sz w:val="20"/>
          <w:szCs w:val="20"/>
          <w:lang w:val="zh-TW" w:eastAsia="zh-CN" w:bidi="ar-SA"/>
        </w:rPr>
        <w:t>.1 环境风险影响</w:t>
      </w:r>
      <w:r>
        <w:rPr>
          <w:rFonts w:hint="eastAsia"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zh-TW" w:eastAsia="zh-CN" w:bidi="ar-SA"/>
        </w:rPr>
        <w:fldChar w:fldCharType="end"/>
      </w:r>
      <w:r>
        <w:rPr>
          <w:rFonts w:hint="eastAsia" w:cstheme="minorBidi"/>
          <w:kern w:val="2"/>
          <w:sz w:val="20"/>
          <w:szCs w:val="20"/>
          <w:lang w:val="en-US" w:eastAsia="zh-CN" w:bidi="ar-SA"/>
        </w:rPr>
        <w:t>4</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_Toc27658 </w:instrText>
      </w:r>
      <w:r>
        <w:rPr>
          <w:rFonts w:hint="eastAsia" w:asciiTheme="minorHAnsi" w:hAnsiTheme="minorHAnsi" w:eastAsiaTheme="minorEastAsia" w:cstheme="minorBidi"/>
          <w:kern w:val="2"/>
          <w:sz w:val="20"/>
          <w:szCs w:val="20"/>
          <w:lang w:val="en-US" w:eastAsia="zh-CN" w:bidi="ar-SA"/>
        </w:rPr>
        <w:fldChar w:fldCharType="separate"/>
      </w:r>
      <w:r>
        <w:rPr>
          <w:rFonts w:hint="eastAsia" w:cstheme="minorBidi"/>
          <w:kern w:val="2"/>
          <w:sz w:val="20"/>
          <w:szCs w:val="20"/>
          <w:lang w:val="en-US" w:eastAsia="zh-CN" w:bidi="ar-SA"/>
        </w:rPr>
        <w:t>5</w:t>
      </w:r>
      <w:r>
        <w:rPr>
          <w:rFonts w:hint="eastAsia" w:asciiTheme="minorHAnsi" w:hAnsiTheme="minorHAnsi" w:eastAsiaTheme="minorEastAsia" w:cstheme="minorBidi"/>
          <w:kern w:val="2"/>
          <w:sz w:val="20"/>
          <w:szCs w:val="20"/>
          <w:lang w:val="zh-TW" w:eastAsia="zh-CN" w:bidi="ar-SA"/>
        </w:rPr>
        <w:t>.2 风险管理及流程</w:t>
      </w:r>
      <w:r>
        <w:rPr>
          <w:rFonts w:hint="eastAsia"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zh-TW" w:eastAsia="zh-CN" w:bidi="ar-SA"/>
        </w:rPr>
        <w:fldChar w:fldCharType="end"/>
      </w:r>
      <w:r>
        <w:rPr>
          <w:rFonts w:hint="eastAsia" w:ascii="黑体" w:hAnsi="Times New Roman" w:eastAsia="黑体" w:cs="Times New Roman"/>
          <w:bCs w:val="0"/>
          <w:i w:val="0"/>
          <w:iCs w:val="0"/>
          <w:caps w:val="0"/>
          <w:strike w:val="0"/>
          <w:dstrike w:val="0"/>
          <w:vanish w:val="0"/>
          <w:color w:val="auto"/>
          <w:spacing w:val="0"/>
          <w:kern w:val="0"/>
          <w:position w:val="0"/>
          <w:sz w:val="20"/>
          <w:szCs w:val="20"/>
          <w:u w:val="none"/>
          <w:vertAlign w:val="baseline"/>
          <w:lang w:val="en-US" w:eastAsia="zh-CN" w:bidi="ar-SA"/>
        </w:rPr>
        <w:t>4</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_Toc4848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6 环境因素对金融机构的影响</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1</w:t>
      </w:r>
      <w:r>
        <w:rPr>
          <w:rFonts w:hint="eastAsia" w:ascii="黑体" w:hAnsi="黑体" w:eastAsia="黑体" w:cs="宋体"/>
          <w:bCs/>
          <w:color w:val="auto"/>
          <w:kern w:val="2"/>
          <w:sz w:val="20"/>
          <w:szCs w:val="20"/>
          <w:lang w:val="en-US" w:eastAsia="zh-CN" w:bidi="ar-SA"/>
        </w:rPr>
        <w:fldChar w:fldCharType="end"/>
      </w:r>
      <w:r>
        <w:rPr>
          <w:rFonts w:hint="eastAsia" w:ascii="黑体" w:hAnsi="黑体" w:eastAsia="黑体" w:cs="宋体"/>
          <w:bCs/>
          <w:color w:val="auto"/>
          <w:kern w:val="2"/>
          <w:sz w:val="20"/>
          <w:szCs w:val="20"/>
          <w:lang w:val="en-US" w:eastAsia="zh-CN" w:bidi="ar-SA"/>
        </w:rPr>
        <w:t>5</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_Toc30854 </w:instrText>
      </w:r>
      <w:r>
        <w:rPr>
          <w:rFonts w:hint="eastAsia" w:asciiTheme="minorHAnsi" w:hAnsiTheme="minorHAnsi" w:eastAsiaTheme="minorEastAsia" w:cstheme="minorBidi"/>
          <w:kern w:val="2"/>
          <w:sz w:val="20"/>
          <w:szCs w:val="20"/>
          <w:lang w:val="en-US" w:eastAsia="zh-CN" w:bidi="ar-SA"/>
        </w:rPr>
        <w:fldChar w:fldCharType="separate"/>
      </w:r>
      <w:r>
        <w:rPr>
          <w:rFonts w:hint="eastAsia" w:cstheme="minorBidi"/>
          <w:kern w:val="2"/>
          <w:sz w:val="20"/>
          <w:szCs w:val="20"/>
          <w:lang w:val="en-US" w:eastAsia="zh-CN" w:bidi="ar-SA"/>
        </w:rPr>
        <w:t>6</w:t>
      </w:r>
      <w:r>
        <w:rPr>
          <w:rFonts w:hint="eastAsia" w:asciiTheme="minorHAnsi" w:hAnsiTheme="minorHAnsi" w:eastAsiaTheme="minorEastAsia" w:cstheme="minorBidi"/>
          <w:kern w:val="2"/>
          <w:sz w:val="20"/>
          <w:szCs w:val="20"/>
          <w:lang w:val="zh-TW" w:eastAsia="zh-CN" w:bidi="ar-SA"/>
        </w:rPr>
        <w:t xml:space="preserve">.1 </w:t>
      </w:r>
      <w:r>
        <w:rPr>
          <w:rFonts w:hint="eastAsia" w:cstheme="minorBidi"/>
          <w:kern w:val="2"/>
          <w:sz w:val="20"/>
          <w:szCs w:val="20"/>
          <w:lang w:val="en-US" w:eastAsia="zh-CN" w:bidi="ar-SA"/>
        </w:rPr>
        <w:t>金融机构环境风险和机遇</w:t>
      </w:r>
      <w:r>
        <w:rPr>
          <w:rFonts w:hint="eastAsia"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zh-TW" w:eastAsia="zh-CN" w:bidi="ar-SA"/>
        </w:rPr>
        <w:fldChar w:fldCharType="end"/>
      </w:r>
      <w:r>
        <w:rPr>
          <w:rFonts w:hint="eastAsia" w:cstheme="minorBidi"/>
          <w:kern w:val="2"/>
          <w:sz w:val="20"/>
          <w:szCs w:val="20"/>
          <w:lang w:val="en-US" w:eastAsia="zh-CN" w:bidi="ar-SA"/>
        </w:rPr>
        <w:t>5</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黑体" w:hAnsi="黑体" w:eastAsia="黑体" w:cs="宋体"/>
          <w:bCs/>
          <w:color w:val="auto"/>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_Toc27658 </w:instrText>
      </w:r>
      <w:r>
        <w:rPr>
          <w:rFonts w:hint="eastAsia" w:asciiTheme="minorHAnsi" w:hAnsiTheme="minorHAnsi" w:eastAsiaTheme="minorEastAsia" w:cstheme="minorBidi"/>
          <w:kern w:val="2"/>
          <w:sz w:val="20"/>
          <w:szCs w:val="20"/>
          <w:lang w:val="en-US" w:eastAsia="zh-CN" w:bidi="ar-SA"/>
        </w:rPr>
        <w:fldChar w:fldCharType="separate"/>
      </w:r>
      <w:r>
        <w:rPr>
          <w:rFonts w:hint="eastAsia" w:cstheme="minorBidi"/>
          <w:kern w:val="2"/>
          <w:sz w:val="20"/>
          <w:szCs w:val="20"/>
          <w:lang w:val="en-US" w:eastAsia="zh-CN" w:bidi="ar-SA"/>
        </w:rPr>
        <w:t>6</w:t>
      </w:r>
      <w:r>
        <w:rPr>
          <w:rFonts w:hint="eastAsia" w:asciiTheme="minorHAnsi" w:hAnsiTheme="minorHAnsi" w:eastAsiaTheme="minorEastAsia" w:cstheme="minorBidi"/>
          <w:kern w:val="2"/>
          <w:sz w:val="20"/>
          <w:szCs w:val="20"/>
          <w:lang w:val="zh-TW" w:eastAsia="zh-CN" w:bidi="ar-SA"/>
        </w:rPr>
        <w:t xml:space="preserve">.2 </w:t>
      </w:r>
      <w:r>
        <w:rPr>
          <w:rFonts w:hint="eastAsia" w:cstheme="minorBidi"/>
          <w:kern w:val="2"/>
          <w:sz w:val="20"/>
          <w:szCs w:val="20"/>
          <w:lang w:val="en-US" w:eastAsia="zh-CN" w:bidi="ar-SA"/>
        </w:rPr>
        <w:t>金融机构环境风险量化分析</w:t>
      </w:r>
      <w:r>
        <w:rPr>
          <w:rFonts w:hint="eastAsia"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zh-TW" w:eastAsia="zh-CN" w:bidi="ar-SA"/>
        </w:rPr>
        <w:fldChar w:fldCharType="end"/>
      </w:r>
      <w:r>
        <w:rPr>
          <w:rFonts w:hint="eastAsia" w:ascii="黑体" w:hAnsi="Times New Roman" w:eastAsia="黑体" w:cs="Times New Roman"/>
          <w:bCs w:val="0"/>
          <w:i w:val="0"/>
          <w:iCs w:val="0"/>
          <w:caps w:val="0"/>
          <w:strike w:val="0"/>
          <w:dstrike w:val="0"/>
          <w:vanish w:val="0"/>
          <w:color w:val="auto"/>
          <w:spacing w:val="0"/>
          <w:kern w:val="0"/>
          <w:position w:val="0"/>
          <w:sz w:val="20"/>
          <w:szCs w:val="20"/>
          <w:u w:val="none"/>
          <w:vertAlign w:val="baseline"/>
          <w:lang w:val="en-US" w:eastAsia="zh-CN" w:bidi="ar-SA"/>
        </w:rPr>
        <w:t>8</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_Toc30292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7 金融机构投融资活动的环境影响</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1</w:t>
      </w:r>
      <w:r>
        <w:rPr>
          <w:rFonts w:hint="eastAsia" w:ascii="黑体" w:hAnsi="黑体" w:eastAsia="黑体" w:cs="宋体"/>
          <w:bCs/>
          <w:color w:val="auto"/>
          <w:kern w:val="2"/>
          <w:sz w:val="20"/>
          <w:szCs w:val="20"/>
          <w:lang w:val="en-US" w:eastAsia="zh-CN" w:bidi="ar-SA"/>
        </w:rPr>
        <w:fldChar w:fldCharType="end"/>
      </w:r>
      <w:r>
        <w:rPr>
          <w:rFonts w:hint="eastAsia" w:ascii="黑体" w:hAnsi="黑体" w:eastAsia="黑体" w:cs="宋体"/>
          <w:bCs/>
          <w:color w:val="auto"/>
          <w:kern w:val="2"/>
          <w:sz w:val="20"/>
          <w:szCs w:val="20"/>
          <w:lang w:val="en-US" w:eastAsia="zh-CN" w:bidi="ar-SA"/>
        </w:rPr>
        <w:t>9</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_Toc2983 </w:instrText>
      </w:r>
      <w:r>
        <w:rPr>
          <w:rFonts w:hint="eastAsia" w:asciiTheme="minorHAnsi" w:hAnsiTheme="minorHAnsi" w:eastAsiaTheme="minorEastAsia" w:cstheme="minorBidi"/>
          <w:kern w:val="2"/>
          <w:sz w:val="20"/>
          <w:szCs w:val="20"/>
          <w:lang w:val="en-US" w:eastAsia="zh-CN" w:bidi="ar-SA"/>
        </w:rPr>
        <w:fldChar w:fldCharType="separate"/>
      </w:r>
      <w:r>
        <w:rPr>
          <w:rFonts w:hint="eastAsia" w:cstheme="minorBidi"/>
          <w:kern w:val="2"/>
          <w:sz w:val="20"/>
          <w:szCs w:val="20"/>
          <w:lang w:val="en-US" w:eastAsia="zh-CN" w:bidi="ar-SA"/>
        </w:rPr>
        <w:t>7</w:t>
      </w:r>
      <w:r>
        <w:rPr>
          <w:rFonts w:hint="eastAsia" w:asciiTheme="minorHAnsi" w:hAnsiTheme="minorHAnsi" w:eastAsiaTheme="minorEastAsia" w:cstheme="minorBidi"/>
          <w:kern w:val="2"/>
          <w:sz w:val="20"/>
          <w:szCs w:val="20"/>
          <w:lang w:val="zh-TW" w:eastAsia="zh-CN" w:bidi="ar-SA"/>
        </w:rPr>
        <w:t xml:space="preserve">.1 </w:t>
      </w:r>
      <w:r>
        <w:rPr>
          <w:rFonts w:hint="eastAsia" w:asciiTheme="minorHAnsi" w:hAnsiTheme="minorHAnsi" w:eastAsiaTheme="minorEastAsia" w:cstheme="minorBidi"/>
          <w:kern w:val="2"/>
          <w:sz w:val="20"/>
          <w:szCs w:val="20"/>
          <w:lang w:val="en-US" w:eastAsia="zh-CN" w:bidi="ar-SA"/>
        </w:rPr>
        <w:t>金融</w:t>
      </w:r>
      <w:r>
        <w:rPr>
          <w:rFonts w:hint="eastAsia" w:asciiTheme="minorHAnsi" w:hAnsiTheme="minorHAnsi" w:eastAsiaTheme="minorEastAsia" w:cstheme="minorBidi"/>
          <w:kern w:val="2"/>
          <w:sz w:val="20"/>
          <w:szCs w:val="20"/>
          <w:lang w:val="zh-TW" w:eastAsia="zh-CN" w:bidi="ar-SA"/>
        </w:rPr>
        <w:t>机构投融资所产生的环境影响</w:t>
      </w:r>
      <w:r>
        <w:rPr>
          <w:rFonts w:hint="eastAsia"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zh-TW" w:eastAsia="zh-CN" w:bidi="ar-SA"/>
        </w:rPr>
        <w:fldChar w:fldCharType="end"/>
      </w:r>
      <w:r>
        <w:rPr>
          <w:rFonts w:hint="eastAsia" w:cstheme="minorBidi"/>
          <w:kern w:val="2"/>
          <w:sz w:val="20"/>
          <w:szCs w:val="20"/>
          <w:lang w:val="en-US" w:eastAsia="zh-CN" w:bidi="ar-SA"/>
        </w:rPr>
        <w:t>9</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黑体" w:hAnsi="Times New Roman" w:eastAsia="黑体" w:cs="Times New Roman"/>
          <w:bCs w:val="0"/>
          <w:i w:val="0"/>
          <w:iCs w:val="0"/>
          <w:caps w:val="0"/>
          <w:strike w:val="0"/>
          <w:dstrike w:val="0"/>
          <w:vanish w:val="0"/>
          <w:color w:val="auto"/>
          <w:spacing w:val="0"/>
          <w:kern w:val="0"/>
          <w:position w:val="0"/>
          <w:sz w:val="20"/>
          <w:szCs w:val="20"/>
          <w:u w:val="none"/>
          <w:vertAlign w:val="baseline"/>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_Toc252 </w:instrText>
      </w:r>
      <w:r>
        <w:rPr>
          <w:rFonts w:hint="eastAsia" w:asciiTheme="minorHAnsi" w:hAnsiTheme="minorHAnsi" w:eastAsiaTheme="minorEastAsia" w:cstheme="minorBidi"/>
          <w:kern w:val="2"/>
          <w:sz w:val="20"/>
          <w:szCs w:val="20"/>
          <w:lang w:val="en-US" w:eastAsia="zh-CN" w:bidi="ar-SA"/>
        </w:rPr>
        <w:fldChar w:fldCharType="separate"/>
      </w:r>
      <w:r>
        <w:rPr>
          <w:rFonts w:hint="eastAsia" w:cstheme="minorBidi"/>
          <w:kern w:val="2"/>
          <w:sz w:val="20"/>
          <w:szCs w:val="20"/>
          <w:lang w:val="en-US" w:eastAsia="zh-CN" w:bidi="ar-SA"/>
        </w:rPr>
        <w:t>7</w:t>
      </w:r>
      <w:r>
        <w:rPr>
          <w:rFonts w:hint="eastAsia" w:asciiTheme="minorHAnsi" w:hAnsiTheme="minorHAnsi" w:eastAsiaTheme="minorEastAsia" w:cstheme="minorBidi"/>
          <w:kern w:val="2"/>
          <w:sz w:val="20"/>
          <w:szCs w:val="20"/>
          <w:lang w:val="zh-TW" w:eastAsia="zh-CN" w:bidi="ar-SA"/>
        </w:rPr>
        <w:t xml:space="preserve">.2 </w:t>
      </w:r>
      <w:r>
        <w:rPr>
          <w:rFonts w:hint="eastAsia" w:asciiTheme="minorHAnsi" w:hAnsiTheme="minorHAnsi" w:eastAsiaTheme="minorEastAsia" w:cstheme="minorBidi"/>
          <w:kern w:val="2"/>
          <w:sz w:val="20"/>
          <w:szCs w:val="20"/>
          <w:lang w:val="en-US" w:eastAsia="zh-CN" w:bidi="ar-SA"/>
        </w:rPr>
        <w:t>环境风险对金融</w:t>
      </w:r>
      <w:r>
        <w:rPr>
          <w:rFonts w:hint="eastAsia" w:asciiTheme="minorHAnsi" w:hAnsiTheme="minorHAnsi" w:eastAsiaTheme="minorEastAsia" w:cstheme="minorBidi"/>
          <w:kern w:val="2"/>
          <w:sz w:val="20"/>
          <w:szCs w:val="20"/>
          <w:lang w:val="zh-TW" w:eastAsia="zh-CN" w:bidi="ar-SA"/>
        </w:rPr>
        <w:t>机构投融资影响的测算与表达</w:t>
      </w:r>
      <w:r>
        <w:rPr>
          <w:rFonts w:hint="eastAsia" w:asciiTheme="minorHAnsi" w:hAnsiTheme="minorHAnsi" w:eastAsiaTheme="minorEastAsia" w:cstheme="minorBidi"/>
          <w:kern w:val="2"/>
          <w:sz w:val="20"/>
          <w:szCs w:val="20"/>
          <w:lang w:val="en-US" w:eastAsia="zh-CN" w:bidi="ar-SA"/>
        </w:rPr>
        <w:tab/>
      </w:r>
      <w:r>
        <w:rPr>
          <w:rFonts w:hint="eastAsia" w:cstheme="minorBidi"/>
          <w:kern w:val="2"/>
          <w:sz w:val="20"/>
          <w:szCs w:val="20"/>
          <w:lang w:val="en-US" w:eastAsia="zh-CN" w:bidi="ar-SA"/>
        </w:rPr>
        <w:t>2</w:t>
      </w:r>
      <w:r>
        <w:rPr>
          <w:rFonts w:hint="eastAsia" w:asciiTheme="minorHAnsi" w:hAnsiTheme="minorHAnsi" w:eastAsiaTheme="minorEastAsia" w:cstheme="minorBidi"/>
          <w:kern w:val="2"/>
          <w:sz w:val="20"/>
          <w:szCs w:val="20"/>
          <w:lang w:val="zh-TW" w:eastAsia="zh-CN" w:bidi="ar-SA"/>
        </w:rPr>
        <w:fldChar w:fldCharType="end"/>
      </w:r>
      <w:r>
        <w:rPr>
          <w:rFonts w:hint="eastAsia" w:ascii="黑体" w:hAnsi="Times New Roman" w:eastAsia="黑体" w:cs="Times New Roman"/>
          <w:bCs w:val="0"/>
          <w:i w:val="0"/>
          <w:iCs w:val="0"/>
          <w:caps w:val="0"/>
          <w:strike w:val="0"/>
          <w:dstrike w:val="0"/>
          <w:vanish w:val="0"/>
          <w:color w:val="auto"/>
          <w:spacing w:val="0"/>
          <w:kern w:val="0"/>
          <w:position w:val="0"/>
          <w:sz w:val="20"/>
          <w:szCs w:val="20"/>
          <w:u w:val="none"/>
          <w:vertAlign w:val="baseline"/>
          <w:lang w:val="en-US" w:eastAsia="zh-CN" w:bidi="ar-SA"/>
        </w:rPr>
        <w:t>1</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t>8 金融机构经营活动的环境影响</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22</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_Toc2983 </w:instrText>
      </w:r>
      <w:r>
        <w:rPr>
          <w:rFonts w:hint="eastAsia" w:asciiTheme="minorHAnsi" w:hAnsiTheme="minorHAnsi" w:eastAsiaTheme="minorEastAsia" w:cstheme="minorBidi"/>
          <w:kern w:val="2"/>
          <w:sz w:val="20"/>
          <w:szCs w:val="20"/>
          <w:lang w:val="en-US" w:eastAsia="zh-CN" w:bidi="ar-SA"/>
        </w:rPr>
        <w:fldChar w:fldCharType="separate"/>
      </w:r>
      <w:r>
        <w:rPr>
          <w:rFonts w:hint="eastAsia" w:cstheme="minorBidi"/>
          <w:kern w:val="2"/>
          <w:sz w:val="20"/>
          <w:szCs w:val="20"/>
          <w:lang w:val="en-US" w:eastAsia="zh-CN" w:bidi="ar-SA"/>
        </w:rPr>
        <w:t>8</w:t>
      </w:r>
      <w:r>
        <w:rPr>
          <w:rFonts w:hint="eastAsia" w:asciiTheme="minorHAnsi" w:hAnsiTheme="minorHAnsi" w:eastAsiaTheme="minorEastAsia" w:cstheme="minorBidi"/>
          <w:kern w:val="2"/>
          <w:sz w:val="20"/>
          <w:szCs w:val="20"/>
          <w:lang w:val="zh-TW" w:eastAsia="zh-CN" w:bidi="ar-SA"/>
        </w:rPr>
        <w:t xml:space="preserve">.1 </w:t>
      </w:r>
      <w:r>
        <w:rPr>
          <w:rFonts w:hint="eastAsia" w:asciiTheme="minorHAnsi" w:hAnsiTheme="minorHAnsi" w:eastAsiaTheme="minorEastAsia" w:cstheme="minorBidi"/>
          <w:kern w:val="2"/>
          <w:sz w:val="20"/>
          <w:szCs w:val="20"/>
          <w:lang w:val="en-US" w:eastAsia="zh-CN" w:bidi="ar-SA"/>
        </w:rPr>
        <w:t>金融</w:t>
      </w:r>
      <w:r>
        <w:rPr>
          <w:rFonts w:hint="eastAsia" w:asciiTheme="minorHAnsi" w:hAnsiTheme="minorHAnsi" w:eastAsiaTheme="minorEastAsia" w:cstheme="minorBidi"/>
          <w:kern w:val="2"/>
          <w:sz w:val="20"/>
          <w:szCs w:val="20"/>
          <w:lang w:val="zh-TW" w:eastAsia="zh-CN" w:bidi="ar-SA"/>
        </w:rPr>
        <w:t>机构</w:t>
      </w:r>
      <w:r>
        <w:rPr>
          <w:rFonts w:hint="eastAsia" w:asciiTheme="minorHAnsi" w:hAnsiTheme="minorHAnsi" w:eastAsiaTheme="minorEastAsia" w:cstheme="minorBidi"/>
          <w:kern w:val="2"/>
          <w:sz w:val="20"/>
          <w:szCs w:val="20"/>
          <w:lang w:val="en-US" w:eastAsia="zh-CN" w:bidi="ar-SA"/>
        </w:rPr>
        <w:t>经营活动产生的直接温室气体排放和自然资源消耗</w:t>
      </w:r>
      <w:r>
        <w:rPr>
          <w:rFonts w:hint="eastAsia" w:asciiTheme="minorHAnsi" w:hAnsiTheme="minorHAnsi" w:eastAsiaTheme="minorEastAsia" w:cstheme="minorBidi"/>
          <w:kern w:val="2"/>
          <w:sz w:val="20"/>
          <w:szCs w:val="20"/>
          <w:lang w:val="en-US" w:eastAsia="zh-CN" w:bidi="ar-SA"/>
        </w:rPr>
        <w:tab/>
      </w:r>
      <w:r>
        <w:rPr>
          <w:rFonts w:hint="eastAsia" w:cstheme="minorBidi"/>
          <w:kern w:val="2"/>
          <w:sz w:val="20"/>
          <w:szCs w:val="20"/>
          <w:lang w:val="en-US" w:eastAsia="zh-CN" w:bidi="ar-SA"/>
        </w:rPr>
        <w:t>2</w:t>
      </w:r>
      <w:r>
        <w:rPr>
          <w:rFonts w:hint="eastAsia" w:asciiTheme="minorHAnsi" w:hAnsiTheme="minorHAnsi" w:eastAsiaTheme="minorEastAsia" w:cstheme="minorBidi"/>
          <w:kern w:val="2"/>
          <w:sz w:val="20"/>
          <w:szCs w:val="20"/>
          <w:lang w:val="zh-TW" w:eastAsia="zh-CN" w:bidi="ar-SA"/>
        </w:rPr>
        <w:fldChar w:fldCharType="end"/>
      </w:r>
      <w:r>
        <w:rPr>
          <w:rFonts w:hint="eastAsia" w:cstheme="minorBidi"/>
          <w:kern w:val="2"/>
          <w:sz w:val="20"/>
          <w:szCs w:val="20"/>
          <w:lang w:val="en-US" w:eastAsia="zh-CN" w:bidi="ar-SA"/>
        </w:rPr>
        <w:t>2</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_Toc252 </w:instrText>
      </w:r>
      <w:r>
        <w:rPr>
          <w:rFonts w:hint="eastAsia" w:asciiTheme="minorHAnsi" w:hAnsiTheme="minorHAnsi" w:eastAsiaTheme="minorEastAsia" w:cstheme="minorBidi"/>
          <w:kern w:val="2"/>
          <w:sz w:val="20"/>
          <w:szCs w:val="20"/>
          <w:lang w:val="en-US" w:eastAsia="zh-CN" w:bidi="ar-SA"/>
        </w:rPr>
        <w:fldChar w:fldCharType="separate"/>
      </w:r>
      <w:r>
        <w:rPr>
          <w:rFonts w:hint="eastAsia" w:cstheme="minorBidi"/>
          <w:kern w:val="2"/>
          <w:sz w:val="20"/>
          <w:szCs w:val="20"/>
          <w:lang w:val="en-US" w:eastAsia="zh-CN" w:bidi="ar-SA"/>
        </w:rPr>
        <w:t>8</w:t>
      </w:r>
      <w:r>
        <w:rPr>
          <w:rFonts w:hint="eastAsia" w:asciiTheme="minorHAnsi" w:hAnsiTheme="minorHAnsi" w:eastAsiaTheme="minorEastAsia" w:cstheme="minorBidi"/>
          <w:kern w:val="2"/>
          <w:sz w:val="20"/>
          <w:szCs w:val="20"/>
          <w:lang w:val="zh-TW" w:eastAsia="zh-CN" w:bidi="ar-SA"/>
        </w:rPr>
        <w:t xml:space="preserve">.2 </w:t>
      </w:r>
      <w:r>
        <w:rPr>
          <w:rFonts w:hint="eastAsia" w:asciiTheme="minorHAnsi" w:hAnsiTheme="minorHAnsi" w:eastAsiaTheme="minorEastAsia" w:cstheme="minorBidi"/>
          <w:kern w:val="2"/>
          <w:sz w:val="20"/>
          <w:szCs w:val="20"/>
          <w:lang w:val="en-US" w:eastAsia="zh-CN" w:bidi="ar-SA"/>
        </w:rPr>
        <w:t>金融机构采购的产品或服务所产生的间接温室气体排放和间接自然资源消耗</w:t>
      </w:r>
      <w:r>
        <w:rPr>
          <w:rFonts w:hint="eastAsia" w:asciiTheme="minorHAnsi" w:hAnsiTheme="minorHAnsi" w:eastAsiaTheme="minorEastAsia" w:cstheme="minorBidi"/>
          <w:kern w:val="2"/>
          <w:sz w:val="20"/>
          <w:szCs w:val="20"/>
          <w:lang w:val="en-US" w:eastAsia="zh-CN" w:bidi="ar-SA"/>
        </w:rPr>
        <w:tab/>
      </w:r>
      <w:r>
        <w:rPr>
          <w:rFonts w:hint="eastAsia" w:cstheme="minorBidi"/>
          <w:kern w:val="2"/>
          <w:sz w:val="20"/>
          <w:szCs w:val="20"/>
          <w:lang w:val="en-US" w:eastAsia="zh-CN" w:bidi="ar-SA"/>
        </w:rPr>
        <w:t>2</w:t>
      </w:r>
      <w:r>
        <w:rPr>
          <w:rFonts w:hint="eastAsia" w:asciiTheme="minorHAnsi" w:hAnsiTheme="minorHAnsi" w:eastAsiaTheme="minorEastAsia" w:cstheme="minorBidi"/>
          <w:kern w:val="2"/>
          <w:sz w:val="20"/>
          <w:szCs w:val="20"/>
          <w:lang w:val="zh-TW" w:eastAsia="zh-CN" w:bidi="ar-SA"/>
        </w:rPr>
        <w:fldChar w:fldCharType="end"/>
      </w:r>
      <w:r>
        <w:rPr>
          <w:rFonts w:hint="eastAsia" w:cstheme="minorBidi"/>
          <w:kern w:val="2"/>
          <w:sz w:val="20"/>
          <w:szCs w:val="20"/>
          <w:lang w:val="en-US" w:eastAsia="zh-CN" w:bidi="ar-SA"/>
        </w:rPr>
        <w:t>2</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_Toc2983 </w:instrText>
      </w:r>
      <w:r>
        <w:rPr>
          <w:rFonts w:hint="eastAsia" w:asciiTheme="minorHAnsi" w:hAnsiTheme="minorHAnsi" w:eastAsiaTheme="minorEastAsia" w:cstheme="minorBidi"/>
          <w:kern w:val="2"/>
          <w:sz w:val="20"/>
          <w:szCs w:val="20"/>
          <w:lang w:val="en-US" w:eastAsia="zh-CN" w:bidi="ar-SA"/>
        </w:rPr>
        <w:fldChar w:fldCharType="separate"/>
      </w:r>
      <w:r>
        <w:rPr>
          <w:rFonts w:hint="eastAsia" w:cstheme="minorBidi"/>
          <w:kern w:val="2"/>
          <w:sz w:val="20"/>
          <w:szCs w:val="20"/>
          <w:lang w:val="en-US" w:eastAsia="zh-CN" w:bidi="ar-SA"/>
        </w:rPr>
        <w:t>8</w:t>
      </w:r>
      <w:r>
        <w:rPr>
          <w:rFonts w:hint="eastAsia" w:asciiTheme="minorHAnsi" w:hAnsiTheme="minorHAnsi" w:eastAsiaTheme="minorEastAsia" w:cstheme="minorBidi"/>
          <w:kern w:val="2"/>
          <w:sz w:val="20"/>
          <w:szCs w:val="20"/>
          <w:lang w:val="zh-TW" w:eastAsia="zh-CN" w:bidi="ar-SA"/>
        </w:rPr>
        <w:t>.</w:t>
      </w:r>
      <w:r>
        <w:rPr>
          <w:rFonts w:hint="eastAsia" w:asciiTheme="minorHAnsi" w:hAnsiTheme="minorHAnsi" w:eastAsiaTheme="minorEastAsia" w:cstheme="minorBidi"/>
          <w:kern w:val="2"/>
          <w:sz w:val="20"/>
          <w:szCs w:val="20"/>
          <w:lang w:val="en-US" w:eastAsia="zh-CN" w:bidi="ar-SA"/>
        </w:rPr>
        <w:t>3</w:t>
      </w:r>
      <w:r>
        <w:rPr>
          <w:rFonts w:hint="eastAsia" w:asciiTheme="minorHAnsi" w:hAnsiTheme="minorHAnsi" w:eastAsiaTheme="minorEastAsia" w:cstheme="minorBidi"/>
          <w:kern w:val="2"/>
          <w:sz w:val="20"/>
          <w:szCs w:val="20"/>
          <w:lang w:val="zh-TW" w:eastAsia="zh-CN" w:bidi="ar-SA"/>
        </w:rPr>
        <w:t xml:space="preserve"> </w:t>
      </w:r>
      <w:r>
        <w:rPr>
          <w:rFonts w:hint="eastAsia" w:asciiTheme="minorHAnsi" w:hAnsiTheme="minorHAnsi" w:eastAsiaTheme="minorEastAsia" w:cstheme="minorBidi"/>
          <w:kern w:val="2"/>
          <w:sz w:val="20"/>
          <w:szCs w:val="20"/>
          <w:lang w:val="en-US" w:eastAsia="zh-CN" w:bidi="ar-SA"/>
        </w:rPr>
        <w:t>金融</w:t>
      </w:r>
      <w:r>
        <w:rPr>
          <w:rFonts w:hint="eastAsia" w:asciiTheme="minorHAnsi" w:hAnsiTheme="minorHAnsi" w:eastAsiaTheme="minorEastAsia" w:cstheme="minorBidi"/>
          <w:kern w:val="2"/>
          <w:sz w:val="20"/>
          <w:szCs w:val="20"/>
          <w:lang w:val="zh-TW" w:eastAsia="zh-CN" w:bidi="ar-SA"/>
        </w:rPr>
        <w:t>机构</w:t>
      </w:r>
      <w:r>
        <w:rPr>
          <w:rFonts w:hint="eastAsia" w:asciiTheme="minorHAnsi" w:hAnsiTheme="minorHAnsi" w:eastAsiaTheme="minorEastAsia" w:cstheme="minorBidi"/>
          <w:kern w:val="2"/>
          <w:sz w:val="20"/>
          <w:szCs w:val="20"/>
          <w:lang w:val="en-US" w:eastAsia="zh-CN" w:bidi="ar-SA"/>
        </w:rPr>
        <w:t>采取环保措施所产生的环境效益</w:t>
      </w:r>
      <w:r>
        <w:rPr>
          <w:rFonts w:hint="eastAsia" w:asciiTheme="minorHAnsi" w:hAnsiTheme="minorHAnsi" w:eastAsiaTheme="minorEastAsia" w:cstheme="minorBidi"/>
          <w:kern w:val="2"/>
          <w:sz w:val="20"/>
          <w:szCs w:val="20"/>
          <w:lang w:val="en-US" w:eastAsia="zh-CN" w:bidi="ar-SA"/>
        </w:rPr>
        <w:tab/>
      </w:r>
      <w:r>
        <w:rPr>
          <w:rFonts w:hint="eastAsia" w:cstheme="minorBidi"/>
          <w:kern w:val="2"/>
          <w:sz w:val="20"/>
          <w:szCs w:val="20"/>
          <w:lang w:val="en-US" w:eastAsia="zh-CN" w:bidi="ar-SA"/>
        </w:rPr>
        <w:t>2</w:t>
      </w:r>
      <w:r>
        <w:rPr>
          <w:rFonts w:hint="eastAsia" w:asciiTheme="minorHAnsi" w:hAnsiTheme="minorHAnsi" w:eastAsiaTheme="minorEastAsia" w:cstheme="minorBidi"/>
          <w:kern w:val="2"/>
          <w:sz w:val="20"/>
          <w:szCs w:val="20"/>
          <w:lang w:val="zh-TW" w:eastAsia="zh-CN" w:bidi="ar-SA"/>
        </w:rPr>
        <w:fldChar w:fldCharType="end"/>
      </w:r>
      <w:r>
        <w:rPr>
          <w:rFonts w:hint="eastAsia" w:cstheme="minorBidi"/>
          <w:kern w:val="2"/>
          <w:sz w:val="20"/>
          <w:szCs w:val="20"/>
          <w:lang w:val="en-US" w:eastAsia="zh-CN" w:bidi="ar-SA"/>
        </w:rPr>
        <w:t>2</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_Toc2983 </w:instrText>
      </w:r>
      <w:r>
        <w:rPr>
          <w:rFonts w:hint="eastAsia" w:asciiTheme="minorHAnsi" w:hAnsiTheme="minorHAnsi" w:eastAsiaTheme="minorEastAsia" w:cstheme="minorBidi"/>
          <w:kern w:val="2"/>
          <w:sz w:val="20"/>
          <w:szCs w:val="20"/>
          <w:lang w:val="en-US" w:eastAsia="zh-CN" w:bidi="ar-SA"/>
        </w:rPr>
        <w:fldChar w:fldCharType="separate"/>
      </w:r>
      <w:r>
        <w:rPr>
          <w:rFonts w:hint="eastAsia" w:cstheme="minorBidi"/>
          <w:kern w:val="2"/>
          <w:sz w:val="20"/>
          <w:szCs w:val="20"/>
          <w:lang w:val="en-US" w:eastAsia="zh-CN" w:bidi="ar-SA"/>
        </w:rPr>
        <w:t>8</w:t>
      </w:r>
      <w:r>
        <w:rPr>
          <w:rFonts w:hint="eastAsia" w:asciiTheme="minorHAnsi" w:hAnsiTheme="minorHAnsi" w:eastAsiaTheme="minorEastAsia" w:cstheme="minorBidi"/>
          <w:kern w:val="2"/>
          <w:sz w:val="20"/>
          <w:szCs w:val="20"/>
          <w:lang w:val="zh-TW" w:eastAsia="zh-CN" w:bidi="ar-SA"/>
        </w:rPr>
        <w:t>.</w:t>
      </w:r>
      <w:r>
        <w:rPr>
          <w:rFonts w:hint="eastAsia" w:asciiTheme="minorHAnsi" w:hAnsiTheme="minorHAnsi" w:eastAsiaTheme="minorEastAsia" w:cstheme="minorBidi"/>
          <w:kern w:val="2"/>
          <w:sz w:val="20"/>
          <w:szCs w:val="20"/>
          <w:lang w:val="en-US" w:eastAsia="zh-CN" w:bidi="ar-SA"/>
        </w:rPr>
        <w:t>4</w:t>
      </w:r>
      <w:r>
        <w:rPr>
          <w:rFonts w:hint="eastAsia" w:asciiTheme="minorHAnsi" w:hAnsiTheme="minorHAnsi" w:eastAsiaTheme="minorEastAsia" w:cstheme="minorBidi"/>
          <w:kern w:val="2"/>
          <w:sz w:val="20"/>
          <w:szCs w:val="20"/>
          <w:lang w:val="zh-TW" w:eastAsia="zh-CN" w:bidi="ar-SA"/>
        </w:rPr>
        <w:t xml:space="preserve"> </w:t>
      </w:r>
      <w:r>
        <w:rPr>
          <w:rFonts w:hint="eastAsia" w:asciiTheme="minorHAnsi" w:hAnsiTheme="minorHAnsi" w:eastAsiaTheme="minorEastAsia" w:cstheme="minorBidi"/>
          <w:kern w:val="2"/>
          <w:sz w:val="20"/>
          <w:szCs w:val="20"/>
          <w:lang w:val="en-US" w:eastAsia="zh-CN" w:bidi="ar-SA"/>
        </w:rPr>
        <w:t>经营活动环境影响的量化测算</w:t>
      </w:r>
      <w:r>
        <w:rPr>
          <w:rFonts w:hint="eastAsia" w:asciiTheme="minorHAnsi" w:hAnsiTheme="minorHAnsi" w:eastAsiaTheme="minorEastAsia" w:cstheme="minorBidi"/>
          <w:kern w:val="2"/>
          <w:sz w:val="20"/>
          <w:szCs w:val="20"/>
          <w:lang w:val="en-US" w:eastAsia="zh-CN" w:bidi="ar-SA"/>
        </w:rPr>
        <w:tab/>
      </w:r>
      <w:r>
        <w:rPr>
          <w:rFonts w:hint="eastAsia" w:cstheme="minorBidi"/>
          <w:kern w:val="2"/>
          <w:sz w:val="20"/>
          <w:szCs w:val="20"/>
          <w:lang w:val="en-US" w:eastAsia="zh-CN" w:bidi="ar-SA"/>
        </w:rPr>
        <w:t>2</w:t>
      </w:r>
      <w:r>
        <w:rPr>
          <w:rFonts w:hint="eastAsia" w:asciiTheme="minorHAnsi" w:hAnsiTheme="minorHAnsi" w:eastAsiaTheme="minorEastAsia" w:cstheme="minorBidi"/>
          <w:kern w:val="2"/>
          <w:sz w:val="20"/>
          <w:szCs w:val="20"/>
          <w:lang w:val="zh-TW" w:eastAsia="zh-CN" w:bidi="ar-SA"/>
        </w:rPr>
        <w:fldChar w:fldCharType="end"/>
      </w:r>
      <w:r>
        <w:rPr>
          <w:rFonts w:hint="eastAsia" w:ascii="黑体" w:hAnsi="Times New Roman" w:eastAsia="黑体" w:cs="Times New Roman"/>
          <w:bCs w:val="0"/>
          <w:i w:val="0"/>
          <w:iCs w:val="0"/>
          <w:caps w:val="0"/>
          <w:strike w:val="0"/>
          <w:dstrike w:val="0"/>
          <w:vanish w:val="0"/>
          <w:color w:val="auto"/>
          <w:spacing w:val="0"/>
          <w:kern w:val="0"/>
          <w:position w:val="0"/>
          <w:sz w:val="20"/>
          <w:szCs w:val="20"/>
          <w:u w:val="none"/>
          <w:vertAlign w:val="baseline"/>
          <w:lang w:val="en-US" w:eastAsia="zh-CN" w:bidi="ar-SA"/>
        </w:rPr>
        <w:t>3</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lang w:val="en-US" w:eastAsia="zh-CN"/>
        </w:rPr>
      </w:pPr>
      <w:r>
        <w:rPr>
          <w:rFonts w:hint="eastAsia" w:ascii="黑体" w:hAnsi="黑体" w:eastAsia="黑体" w:cs="宋体"/>
          <w:bCs/>
          <w:color w:val="auto"/>
          <w:kern w:val="2"/>
          <w:sz w:val="20"/>
          <w:szCs w:val="20"/>
          <w:lang w:val="en-US" w:eastAsia="zh-CN" w:bidi="ar-SA"/>
        </w:rPr>
        <w:t>9 数据梳理、校验及保护</w:t>
      </w:r>
      <w:r>
        <w:rPr>
          <w:rFonts w:asciiTheme="minorHAnsi" w:hAnsiTheme="minorHAnsi" w:eastAsiaTheme="minorEastAsia" w:cstheme="minorBidi"/>
          <w:kern w:val="2"/>
          <w:sz w:val="20"/>
          <w:szCs w:val="20"/>
          <w:lang w:val="en-US" w:eastAsia="zh-CN" w:bidi="ar-SA"/>
        </w:rPr>
        <w:tab/>
      </w:r>
      <w:r>
        <w:rPr>
          <w:rFonts w:hint="eastAsia" w:cstheme="minorBidi"/>
          <w:kern w:val="2"/>
          <w:sz w:val="20"/>
          <w:szCs w:val="20"/>
          <w:lang w:val="en-US" w:eastAsia="zh-CN" w:bidi="ar-SA"/>
        </w:rPr>
        <w:t>24</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_Toc26878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10 绿色金融创新及研究成果</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2</w:t>
      </w:r>
      <w:r>
        <w:rPr>
          <w:rFonts w:hint="eastAsia" w:ascii="黑体" w:hAnsi="黑体" w:eastAsia="黑体" w:cs="宋体"/>
          <w:bCs/>
          <w:color w:val="auto"/>
          <w:kern w:val="2"/>
          <w:sz w:val="20"/>
          <w:szCs w:val="20"/>
          <w:lang w:val="en-US" w:eastAsia="zh-CN" w:bidi="ar-SA"/>
        </w:rPr>
        <w:fldChar w:fldCharType="end"/>
      </w:r>
      <w:r>
        <w:rPr>
          <w:rFonts w:hint="eastAsia" w:ascii="黑体" w:hAnsi="黑体" w:eastAsia="黑体" w:cs="宋体"/>
          <w:bCs/>
          <w:color w:val="auto"/>
          <w:kern w:val="2"/>
          <w:sz w:val="20"/>
          <w:szCs w:val="20"/>
          <w:lang w:val="en-US" w:eastAsia="zh-CN" w:bidi="ar-SA"/>
        </w:rPr>
        <w:t>5</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_Toc26878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11 其他环境相关信息</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2</w:t>
      </w:r>
      <w:r>
        <w:rPr>
          <w:rFonts w:hint="eastAsia" w:ascii="黑体" w:hAnsi="黑体" w:eastAsia="黑体" w:cs="宋体"/>
          <w:bCs/>
          <w:color w:val="auto"/>
          <w:kern w:val="2"/>
          <w:sz w:val="20"/>
          <w:szCs w:val="20"/>
          <w:lang w:val="en-US" w:eastAsia="zh-CN" w:bidi="ar-SA"/>
        </w:rPr>
        <w:fldChar w:fldCharType="end"/>
      </w:r>
      <w:r>
        <w:rPr>
          <w:rFonts w:hint="eastAsia" w:ascii="黑体" w:hAnsi="黑体" w:eastAsia="黑体" w:cs="宋体"/>
          <w:bCs/>
          <w:color w:val="auto"/>
          <w:kern w:val="2"/>
          <w:sz w:val="20"/>
          <w:szCs w:val="20"/>
          <w:lang w:val="en-US" w:eastAsia="zh-CN" w:bidi="ar-SA"/>
        </w:rPr>
        <w:t>6</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_Toc26878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12 可持续相关信息披露</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2</w:t>
      </w:r>
      <w:r>
        <w:rPr>
          <w:rFonts w:hint="eastAsia" w:ascii="黑体" w:hAnsi="黑体" w:eastAsia="黑体" w:cs="宋体"/>
          <w:bCs/>
          <w:color w:val="auto"/>
          <w:kern w:val="2"/>
          <w:sz w:val="20"/>
          <w:szCs w:val="20"/>
          <w:lang w:val="en-US" w:eastAsia="zh-CN" w:bidi="ar-SA"/>
        </w:rPr>
        <w:fldChar w:fldCharType="end"/>
      </w:r>
      <w:r>
        <w:rPr>
          <w:rFonts w:hint="eastAsia" w:ascii="黑体" w:hAnsi="黑体" w:eastAsia="黑体" w:cs="宋体"/>
          <w:bCs/>
          <w:color w:val="auto"/>
          <w:kern w:val="2"/>
          <w:sz w:val="20"/>
          <w:szCs w:val="20"/>
          <w:lang w:val="en-US" w:eastAsia="zh-CN" w:bidi="ar-SA"/>
        </w:rPr>
        <w:t>6</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heme="minorHAnsi" w:hAnsiTheme="minorHAnsi" w:eastAsiaTheme="minorEastAsia" w:cstheme="minorBidi"/>
          <w:kern w:val="2"/>
          <w:sz w:val="20"/>
          <w:szCs w:val="20"/>
          <w:lang w:val="en-US" w:eastAsia="zh-CN" w:bidi="ar-SA"/>
        </w:rPr>
      </w:pPr>
      <w:r>
        <w:rPr>
          <w:rFonts w:hint="eastAsia" w:ascii="黑体" w:hAnsi="黑体" w:eastAsia="黑体" w:cs="宋体"/>
          <w:bCs/>
          <w:color w:val="auto"/>
          <w:kern w:val="2"/>
          <w:szCs w:val="44"/>
          <w:lang w:val="en-US" w:eastAsia="zh-CN" w:bidi="ar-SA"/>
        </w:rPr>
        <w:fldChar w:fldCharType="end"/>
      </w: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_Toc2983 </w:instrText>
      </w:r>
      <w:r>
        <w:rPr>
          <w:rFonts w:hint="eastAsia" w:asciiTheme="minorHAnsi" w:hAnsiTheme="minorHAnsi" w:eastAsiaTheme="minorEastAsia" w:cstheme="minorBidi"/>
          <w:kern w:val="2"/>
          <w:sz w:val="20"/>
          <w:szCs w:val="20"/>
          <w:lang w:val="en-US" w:eastAsia="zh-CN" w:bidi="ar-SA"/>
        </w:rPr>
        <w:fldChar w:fldCharType="separate"/>
      </w:r>
      <w:r>
        <w:rPr>
          <w:rFonts w:hint="eastAsia" w:cstheme="minorBidi"/>
          <w:kern w:val="2"/>
          <w:sz w:val="20"/>
          <w:szCs w:val="20"/>
          <w:lang w:val="en-US" w:eastAsia="zh-CN" w:bidi="ar-SA"/>
        </w:rPr>
        <w:t>12</w:t>
      </w:r>
      <w:r>
        <w:rPr>
          <w:rFonts w:hint="eastAsia" w:asciiTheme="minorHAnsi" w:hAnsiTheme="minorHAnsi" w:eastAsiaTheme="minorEastAsia" w:cstheme="minorBidi"/>
          <w:kern w:val="2"/>
          <w:sz w:val="20"/>
          <w:szCs w:val="20"/>
          <w:lang w:val="zh-TW" w:eastAsia="zh-CN" w:bidi="ar-SA"/>
        </w:rPr>
        <w:t xml:space="preserve">.1 </w:t>
      </w:r>
      <w:r>
        <w:rPr>
          <w:rFonts w:hint="eastAsia" w:cstheme="minorBidi"/>
          <w:kern w:val="2"/>
          <w:sz w:val="20"/>
          <w:szCs w:val="20"/>
          <w:lang w:val="en-US" w:eastAsia="zh-CN" w:bidi="ar-SA"/>
        </w:rPr>
        <w:t>可持续相关风险机遇及其对财务状况的影响</w:t>
      </w:r>
      <w:r>
        <w:rPr>
          <w:rFonts w:hint="eastAsia" w:asciiTheme="minorHAnsi" w:hAnsiTheme="minorHAnsi" w:eastAsiaTheme="minorEastAsia" w:cstheme="minorBidi"/>
          <w:kern w:val="2"/>
          <w:sz w:val="20"/>
          <w:szCs w:val="20"/>
          <w:lang w:val="en-US" w:eastAsia="zh-CN" w:bidi="ar-SA"/>
        </w:rPr>
        <w:tab/>
      </w:r>
      <w:r>
        <w:rPr>
          <w:rFonts w:hint="eastAsia" w:cstheme="minorBidi"/>
          <w:kern w:val="2"/>
          <w:sz w:val="20"/>
          <w:szCs w:val="20"/>
          <w:lang w:val="en-US" w:eastAsia="zh-CN" w:bidi="ar-SA"/>
        </w:rPr>
        <w:t>2</w:t>
      </w:r>
      <w:r>
        <w:rPr>
          <w:rFonts w:hint="eastAsia" w:asciiTheme="minorHAnsi" w:hAnsiTheme="minorHAnsi" w:eastAsiaTheme="minorEastAsia" w:cstheme="minorBidi"/>
          <w:kern w:val="2"/>
          <w:sz w:val="20"/>
          <w:szCs w:val="20"/>
          <w:lang w:val="zh-TW" w:eastAsia="zh-CN" w:bidi="ar-SA"/>
        </w:rPr>
        <w:fldChar w:fldCharType="end"/>
      </w:r>
      <w:r>
        <w:rPr>
          <w:rFonts w:hint="eastAsia" w:cstheme="minorBidi"/>
          <w:kern w:val="2"/>
          <w:sz w:val="20"/>
          <w:szCs w:val="20"/>
          <w:lang w:val="en-US" w:eastAsia="zh-CN" w:bidi="ar-SA"/>
        </w:rPr>
        <w:t>7</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_Toc252 </w:instrText>
      </w:r>
      <w:r>
        <w:rPr>
          <w:rFonts w:hint="eastAsia" w:asciiTheme="minorHAnsi" w:hAnsiTheme="minorHAnsi" w:eastAsiaTheme="minorEastAsia" w:cstheme="minorBidi"/>
          <w:kern w:val="2"/>
          <w:sz w:val="20"/>
          <w:szCs w:val="20"/>
          <w:lang w:val="en-US" w:eastAsia="zh-CN" w:bidi="ar-SA"/>
        </w:rPr>
        <w:fldChar w:fldCharType="separate"/>
      </w:r>
      <w:r>
        <w:rPr>
          <w:rFonts w:hint="eastAsia" w:cstheme="minorBidi"/>
          <w:kern w:val="2"/>
          <w:sz w:val="20"/>
          <w:szCs w:val="20"/>
          <w:lang w:val="en-US" w:eastAsia="zh-CN" w:bidi="ar-SA"/>
        </w:rPr>
        <w:t>2</w:t>
      </w:r>
      <w:r>
        <w:rPr>
          <w:rFonts w:hint="eastAsia" w:asciiTheme="minorHAnsi" w:hAnsiTheme="minorHAnsi" w:eastAsiaTheme="minorEastAsia" w:cstheme="minorBidi"/>
          <w:kern w:val="2"/>
          <w:sz w:val="20"/>
          <w:szCs w:val="20"/>
          <w:lang w:val="zh-TW" w:eastAsia="zh-CN" w:bidi="ar-SA"/>
        </w:rPr>
        <w:t xml:space="preserve">.2 </w:t>
      </w:r>
      <w:r>
        <w:rPr>
          <w:rFonts w:hint="eastAsia" w:cstheme="minorBidi"/>
          <w:kern w:val="2"/>
          <w:sz w:val="20"/>
          <w:szCs w:val="20"/>
          <w:lang w:val="en-US" w:eastAsia="zh-CN" w:bidi="ar-SA"/>
        </w:rPr>
        <w:t>可持续和气候风险情景分析或压力测试</w:t>
      </w:r>
      <w:r>
        <w:rPr>
          <w:rFonts w:hint="eastAsia" w:asciiTheme="minorHAnsi" w:hAnsiTheme="minorHAnsi" w:eastAsiaTheme="minorEastAsia" w:cstheme="minorBidi"/>
          <w:kern w:val="2"/>
          <w:sz w:val="20"/>
          <w:szCs w:val="20"/>
          <w:lang w:val="en-US" w:eastAsia="zh-CN" w:bidi="ar-SA"/>
        </w:rPr>
        <w:tab/>
      </w:r>
      <w:r>
        <w:rPr>
          <w:rFonts w:hint="eastAsia" w:cstheme="minorBidi"/>
          <w:kern w:val="2"/>
          <w:sz w:val="20"/>
          <w:szCs w:val="20"/>
          <w:lang w:val="en-US" w:eastAsia="zh-CN" w:bidi="ar-SA"/>
        </w:rPr>
        <w:t>2</w:t>
      </w:r>
      <w:r>
        <w:rPr>
          <w:rFonts w:hint="eastAsia" w:asciiTheme="minorHAnsi" w:hAnsiTheme="minorHAnsi" w:eastAsiaTheme="minorEastAsia" w:cstheme="minorBidi"/>
          <w:kern w:val="2"/>
          <w:sz w:val="20"/>
          <w:szCs w:val="20"/>
          <w:lang w:val="zh-TW" w:eastAsia="zh-CN" w:bidi="ar-SA"/>
        </w:rPr>
        <w:fldChar w:fldCharType="end"/>
      </w:r>
      <w:r>
        <w:rPr>
          <w:rFonts w:hint="eastAsia" w:cstheme="minorBidi"/>
          <w:kern w:val="2"/>
          <w:sz w:val="20"/>
          <w:szCs w:val="20"/>
          <w:lang w:val="en-US" w:eastAsia="zh-CN" w:bidi="ar-SA"/>
        </w:rPr>
        <w:t>7</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_Toc2983 </w:instrText>
      </w:r>
      <w:r>
        <w:rPr>
          <w:rFonts w:hint="eastAsia" w:asciiTheme="minorHAnsi" w:hAnsiTheme="minorHAnsi" w:eastAsiaTheme="minorEastAsia" w:cstheme="minorBidi"/>
          <w:kern w:val="2"/>
          <w:sz w:val="20"/>
          <w:szCs w:val="20"/>
          <w:lang w:val="en-US" w:eastAsia="zh-CN" w:bidi="ar-SA"/>
        </w:rPr>
        <w:fldChar w:fldCharType="separate"/>
      </w:r>
      <w:r>
        <w:rPr>
          <w:rFonts w:hint="eastAsia" w:cstheme="minorBidi"/>
          <w:kern w:val="2"/>
          <w:sz w:val="20"/>
          <w:szCs w:val="20"/>
          <w:lang w:val="en-US" w:eastAsia="zh-CN" w:bidi="ar-SA"/>
        </w:rPr>
        <w:t>12</w:t>
      </w:r>
      <w:r>
        <w:rPr>
          <w:rFonts w:hint="eastAsia" w:asciiTheme="minorHAnsi" w:hAnsiTheme="minorHAnsi" w:eastAsiaTheme="minorEastAsia" w:cstheme="minorBidi"/>
          <w:kern w:val="2"/>
          <w:sz w:val="20"/>
          <w:szCs w:val="20"/>
          <w:lang w:val="zh-TW" w:eastAsia="zh-CN" w:bidi="ar-SA"/>
        </w:rPr>
        <w:t>.</w:t>
      </w:r>
      <w:r>
        <w:rPr>
          <w:rFonts w:hint="eastAsia" w:asciiTheme="minorHAnsi" w:hAnsiTheme="minorHAnsi" w:eastAsiaTheme="minorEastAsia" w:cstheme="minorBidi"/>
          <w:kern w:val="2"/>
          <w:sz w:val="20"/>
          <w:szCs w:val="20"/>
          <w:lang w:val="en-US" w:eastAsia="zh-CN" w:bidi="ar-SA"/>
        </w:rPr>
        <w:t>3</w:t>
      </w:r>
      <w:r>
        <w:rPr>
          <w:rFonts w:hint="eastAsia" w:asciiTheme="minorHAnsi" w:hAnsiTheme="minorHAnsi" w:eastAsiaTheme="minorEastAsia" w:cstheme="minorBidi"/>
          <w:kern w:val="2"/>
          <w:sz w:val="20"/>
          <w:szCs w:val="20"/>
          <w:lang w:val="zh-TW" w:eastAsia="zh-CN" w:bidi="ar-SA"/>
        </w:rPr>
        <w:t xml:space="preserve"> </w:t>
      </w:r>
      <w:r>
        <w:rPr>
          <w:rFonts w:hint="eastAsia" w:cstheme="minorBidi"/>
          <w:kern w:val="2"/>
          <w:sz w:val="20"/>
          <w:szCs w:val="20"/>
          <w:lang w:val="en-US" w:eastAsia="zh-CN" w:bidi="ar-SA"/>
        </w:rPr>
        <w:t>可持续和气候相关指标</w:t>
      </w:r>
      <w:r>
        <w:rPr>
          <w:rFonts w:hint="eastAsia" w:asciiTheme="minorHAnsi" w:hAnsiTheme="minorHAnsi" w:eastAsiaTheme="minorEastAsia" w:cstheme="minorBidi"/>
          <w:kern w:val="2"/>
          <w:sz w:val="20"/>
          <w:szCs w:val="20"/>
          <w:lang w:val="en-US" w:eastAsia="zh-CN" w:bidi="ar-SA"/>
        </w:rPr>
        <w:tab/>
      </w:r>
      <w:r>
        <w:rPr>
          <w:rFonts w:hint="eastAsia" w:cstheme="minorBidi"/>
          <w:kern w:val="2"/>
          <w:sz w:val="20"/>
          <w:szCs w:val="20"/>
          <w:lang w:val="en-US" w:eastAsia="zh-CN" w:bidi="ar-SA"/>
        </w:rPr>
        <w:t>27</w:t>
      </w:r>
      <w:r>
        <w:rPr>
          <w:rFonts w:hint="eastAsia" w:asciiTheme="minorHAnsi" w:hAnsiTheme="minorHAnsi" w:eastAsiaTheme="minorEastAsia" w:cstheme="minorBidi"/>
          <w:kern w:val="2"/>
          <w:sz w:val="20"/>
          <w:szCs w:val="20"/>
          <w:lang w:val="zh-TW" w:eastAsia="zh-CN" w:bidi="ar-SA"/>
        </w:rPr>
        <w:fldChar w:fldCharType="end"/>
      </w:r>
    </w:p>
    <w:p>
      <w:pPr>
        <w:pStyle w:val="2"/>
        <w:ind w:left="0" w:leftChars="0" w:firstLine="0" w:firstLineChars="0"/>
        <w:outlineLvl w:val="0"/>
        <w:rPr>
          <w:rFonts w:hint="eastAsia" w:ascii="黑体" w:hAnsi="黑体" w:eastAsia="黑体" w:cs="宋体"/>
          <w:bCs/>
          <w:color w:val="auto"/>
          <w:kern w:val="2"/>
          <w:szCs w:val="44"/>
          <w:lang w:val="en-US" w:eastAsia="zh-CN" w:bidi="ar-SA"/>
        </w:rPr>
      </w:pPr>
    </w:p>
    <w:p>
      <w:pPr>
        <w:pStyle w:val="2"/>
        <w:ind w:left="0" w:leftChars="0" w:firstLine="0" w:firstLineChars="0"/>
        <w:outlineLvl w:val="0"/>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2"/>
        <w:ind w:left="0" w:leftChars="0" w:firstLine="0" w:firstLineChars="0"/>
        <w:outlineLvl w:val="0"/>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35"/>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before="0" w:beforeLines="0" w:after="0" w:afterLines="0" w:line="590" w:lineRule="exact"/>
        <w:ind w:right="0" w:rightChars="0" w:firstLine="640" w:firstLineChars="200"/>
        <w:jc w:val="left"/>
        <w:textAlignment w:val="auto"/>
        <w:outlineLvl w:val="0"/>
        <w:rPr>
          <w:rFonts w:hint="eastAsia" w:ascii="方正黑体_GBK" w:hAnsi="方正黑体_GBK" w:eastAsia="方正黑体_GBK" w:cs="方正黑体_GBK"/>
          <w:b w:val="0"/>
          <w:bCs/>
          <w:sz w:val="32"/>
          <w:szCs w:val="32"/>
          <w:lang w:val="zh-TW" w:eastAsia="zh-CN"/>
        </w:rPr>
      </w:pPr>
      <w:bookmarkStart w:id="0" w:name="_Toc38615347"/>
      <w:bookmarkStart w:id="1" w:name="_Toc30566"/>
      <w:bookmarkStart w:id="2" w:name="_Toc38615455"/>
      <w:bookmarkStart w:id="3" w:name="_Toc23592"/>
      <w:bookmarkStart w:id="4" w:name="_Toc39764160"/>
      <w:bookmarkStart w:id="5" w:name="_Toc23704"/>
      <w:bookmarkStart w:id="6" w:name="_Toc2195"/>
      <w:bookmarkStart w:id="7" w:name="_Toc31658"/>
      <w:bookmarkStart w:id="8" w:name="_Toc28279"/>
      <w:bookmarkStart w:id="9" w:name="_Toc38615310"/>
      <w:bookmarkStart w:id="10" w:name="_Toc14170"/>
      <w:r>
        <w:rPr>
          <w:rFonts w:hint="eastAsia" w:ascii="方正黑体_GBK" w:hAnsi="方正黑体_GBK" w:eastAsia="方正黑体_GBK" w:cs="方正黑体_GBK"/>
          <w:b w:val="0"/>
          <w:bCs/>
          <w:sz w:val="32"/>
          <w:szCs w:val="32"/>
          <w:lang w:val="zh-TW" w:eastAsia="zh-CN"/>
        </w:rPr>
        <w:t>关于本</w:t>
      </w:r>
      <w:bookmarkStart w:id="11" w:name="关于本报告"/>
      <w:bookmarkEnd w:id="11"/>
      <w:r>
        <w:rPr>
          <w:rFonts w:hint="eastAsia" w:ascii="方正黑体_GBK" w:hAnsi="方正黑体_GBK" w:eastAsia="方正黑体_GBK" w:cs="方正黑体_GBK"/>
          <w:b w:val="0"/>
          <w:bCs/>
          <w:sz w:val="32"/>
          <w:szCs w:val="32"/>
          <w:lang w:val="zh-TW" w:eastAsia="zh-CN"/>
        </w:rPr>
        <w:t>报告</w:t>
      </w:r>
      <w:bookmarkEnd w:id="0"/>
      <w:bookmarkEnd w:id="1"/>
      <w:bookmarkEnd w:id="2"/>
      <w:bookmarkEnd w:id="3"/>
      <w:bookmarkEnd w:id="4"/>
      <w:bookmarkEnd w:id="5"/>
      <w:bookmarkEnd w:id="6"/>
      <w:bookmarkEnd w:id="7"/>
      <w:bookmarkEnd w:id="8"/>
      <w:bookmarkEnd w:id="9"/>
    </w:p>
    <w:p>
      <w:pPr>
        <w:pStyle w:val="35"/>
        <w:keepNext w:val="0"/>
        <w:keepLines w:val="0"/>
        <w:pageBreakBefore w:val="0"/>
        <w:widowControl/>
        <w:numPr>
          <w:ilvl w:val="0"/>
          <w:numId w:val="0"/>
        </w:numPr>
        <w:tabs>
          <w:tab w:val="left" w:pos="720"/>
        </w:tabs>
        <w:kinsoku/>
        <w:wordWrap/>
        <w:overflowPunct/>
        <w:topLinePunct w:val="0"/>
        <w:autoSpaceDE/>
        <w:autoSpaceDN/>
        <w:bidi w:val="0"/>
        <w:adjustRightInd/>
        <w:snapToGrid/>
        <w:spacing w:before="156" w:beforeLines="50" w:after="156" w:afterLines="50" w:line="360" w:lineRule="auto"/>
        <w:ind w:firstLine="643" w:firstLineChars="200"/>
        <w:textAlignment w:val="auto"/>
        <w:outlineLvl w:val="0"/>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报告简介</w:t>
      </w:r>
      <w:bookmarkEnd w:id="10"/>
      <w:bookmarkStart w:id="12" w:name="_Toc38615169"/>
      <w:bookmarkStart w:id="13" w:name="_Toc38615312"/>
      <w:bookmarkStart w:id="14" w:name="_Toc38615349"/>
      <w:bookmarkStart w:id="15" w:name="_Toc38615457"/>
      <w:bookmarkStart w:id="16" w:name="_Toc38615488"/>
    </w:p>
    <w:p>
      <w:pPr>
        <w:pStyle w:val="35"/>
        <w:keepNext w:val="0"/>
        <w:keepLines w:val="0"/>
        <w:pageBreakBefore w:val="0"/>
        <w:widowControl/>
        <w:numPr>
          <w:ilvl w:val="0"/>
          <w:numId w:val="0"/>
        </w:numPr>
        <w:tabs>
          <w:tab w:val="left" w:pos="720"/>
        </w:tabs>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近年来，本行将加强绿色金融建设和可持续发展作为长期坚持的重要战略，全面提升绿色金融服务能力，大力支持绿色产业发展，持续推进低碳运营，实现经济效益、社会效益、生态效益同步提升，充分发挥金融行业在促进湖州市绿色产业发展、生态文明建设、可持续发展方面的积极作用。</w:t>
      </w:r>
    </w:p>
    <w:p>
      <w:pPr>
        <w:pStyle w:val="35"/>
        <w:keepNext w:val="0"/>
        <w:keepLines w:val="0"/>
        <w:pageBreakBefore w:val="0"/>
        <w:widowControl/>
        <w:numPr>
          <w:ilvl w:val="0"/>
          <w:numId w:val="0"/>
        </w:numPr>
        <w:tabs>
          <w:tab w:val="left" w:pos="720"/>
        </w:tabs>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本报告旨在披露交通银行股份有限公司湖州分行2024年度绿色金融和可持续发展概况、规划与目标、治理结构、政策制度、产品与服务创新、环境风险管理及流程、环境因素的影响、投融资活动的环境影响、经营活动的环境影响、数据梳理校验及保护、绿色金融创新及研究成果、可持续相关信息披露等信息，不断强化责任意识，提高透明度和信誉，增强公众知情权，进一步促进监管部门、各利益相关方与本行进行充分的沟通与了解。</w:t>
      </w:r>
      <w:bookmarkEnd w:id="12"/>
      <w:bookmarkEnd w:id="13"/>
      <w:bookmarkEnd w:id="14"/>
      <w:bookmarkEnd w:id="15"/>
      <w:bookmarkEnd w:id="16"/>
    </w:p>
    <w:p>
      <w:pPr>
        <w:pStyle w:val="29"/>
        <w:spacing w:before="156" w:beforeLines="50" w:after="156" w:afterLines="50" w:line="400" w:lineRule="exact"/>
        <w:ind w:left="0" w:leftChars="0" w:firstLine="643" w:firstLineChars="200"/>
        <w:rPr>
          <w:rFonts w:hint="eastAsia" w:ascii="方正楷体_GBK" w:hAnsi="方正楷体_GBK" w:eastAsia="方正楷体_GBK" w:cs="方正楷体_GBK"/>
          <w:b/>
          <w:bCs/>
          <w:sz w:val="32"/>
          <w:szCs w:val="32"/>
        </w:rPr>
      </w:pPr>
      <w:bookmarkStart w:id="17" w:name="_Toc629"/>
      <w:bookmarkStart w:id="18" w:name="_Toc174"/>
      <w:bookmarkStart w:id="19" w:name="_Toc1194"/>
      <w:r>
        <w:rPr>
          <w:rFonts w:hint="eastAsia" w:ascii="方正楷体_GBK" w:hAnsi="方正楷体_GBK" w:eastAsia="方正楷体_GBK" w:cs="方正楷体_GBK"/>
          <w:b/>
          <w:bCs/>
          <w:sz w:val="32"/>
          <w:szCs w:val="32"/>
        </w:rPr>
        <w:t>涵盖期间</w:t>
      </w:r>
      <w:bookmarkEnd w:id="17"/>
      <w:bookmarkEnd w:id="18"/>
      <w:bookmarkEnd w:id="19"/>
    </w:p>
    <w:p>
      <w:pPr>
        <w:pStyle w:val="29"/>
        <w:spacing w:before="156" w:beforeLines="50" w:after="156" w:afterLines="50" w:line="400" w:lineRule="exact"/>
        <w:ind w:left="0" w:leftChars="0" w:firstLine="0" w:firstLineChars="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 xml:space="preserve">   </w:t>
      </w:r>
      <w:r>
        <w:rPr>
          <w:rFonts w:hint="eastAsia" w:ascii="方正仿宋_GBK" w:hAnsi="方正仿宋_GBK" w:eastAsia="方正仿宋_GBK" w:cs="方正仿宋_GBK"/>
          <w:kern w:val="0"/>
          <w:sz w:val="32"/>
          <w:szCs w:val="32"/>
          <w:lang w:val="en-US" w:eastAsia="zh-CN" w:bidi="ar-SA"/>
        </w:rPr>
        <w:t>本报告涵盖期限为2024年1月1日至2024年12月31日。</w:t>
      </w:r>
    </w:p>
    <w:p>
      <w:pPr>
        <w:pStyle w:val="29"/>
        <w:spacing w:before="156" w:beforeLines="50" w:after="156" w:afterLines="50" w:line="400" w:lineRule="exact"/>
        <w:ind w:left="0" w:leftChars="0" w:firstLine="0" w:firstLine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 xml:space="preserve">   </w:t>
      </w:r>
      <w:bookmarkStart w:id="20" w:name="_Toc25750"/>
      <w:bookmarkStart w:id="21" w:name="_Toc28051"/>
      <w:bookmarkStart w:id="22" w:name="_Toc9762"/>
      <w:r>
        <w:rPr>
          <w:rFonts w:hint="eastAsia" w:ascii="楷体_GB2312" w:hAnsi="楷体_GB2312" w:eastAsia="楷体_GB2312" w:cs="楷体_GB2312"/>
          <w:b/>
          <w:bCs/>
          <w:sz w:val="32"/>
          <w:szCs w:val="32"/>
          <w:lang w:val="en-US" w:eastAsia="zh-CN"/>
        </w:rPr>
        <w:t xml:space="preserve"> </w:t>
      </w:r>
      <w:r>
        <w:rPr>
          <w:rFonts w:hint="eastAsia" w:ascii="方正楷体_GBK" w:hAnsi="方正楷体_GBK" w:eastAsia="方正楷体_GBK" w:cs="方正楷体_GBK"/>
          <w:b/>
          <w:bCs/>
          <w:sz w:val="32"/>
          <w:szCs w:val="32"/>
          <w:lang w:val="en-US" w:eastAsia="zh-CN"/>
        </w:rPr>
        <w:t>报告周期</w:t>
      </w:r>
      <w:bookmarkEnd w:id="20"/>
      <w:bookmarkEnd w:id="21"/>
      <w:bookmarkEnd w:id="22"/>
    </w:p>
    <w:p>
      <w:pPr>
        <w:pStyle w:val="29"/>
        <w:spacing w:before="156" w:beforeLines="50" w:after="156" w:afterLines="50" w:line="400" w:lineRule="exact"/>
        <w:ind w:left="0" w:leftChars="0" w:firstLine="0" w:firstLineChars="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kern w:val="0"/>
          <w:sz w:val="32"/>
          <w:szCs w:val="32"/>
          <w:lang w:val="en-US" w:eastAsia="zh-CN" w:bidi="ar-SA"/>
        </w:rPr>
        <w:t xml:space="preserve">  本报告为年度报告。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楷体_GBK" w:hAnsi="方正楷体_GBK" w:eastAsia="方正楷体_GBK" w:cs="方正楷体_GBK"/>
          <w:b/>
          <w:bCs/>
          <w:kern w:val="0"/>
          <w:sz w:val="32"/>
          <w:szCs w:val="32"/>
          <w:lang w:val="en-US" w:eastAsia="zh-CN" w:bidi="ar-SA"/>
        </w:rPr>
      </w:pPr>
      <w:bookmarkStart w:id="23" w:name="_Toc22771"/>
      <w:bookmarkStart w:id="24" w:name="_Toc16305"/>
      <w:bookmarkStart w:id="25" w:name="_Toc12808"/>
      <w:r>
        <w:rPr>
          <w:rFonts w:hint="eastAsia" w:ascii="方正楷体_GBK" w:hAnsi="方正楷体_GBK" w:eastAsia="方正楷体_GBK" w:cs="方正楷体_GBK"/>
          <w:b/>
          <w:bCs/>
          <w:kern w:val="0"/>
          <w:sz w:val="32"/>
          <w:szCs w:val="32"/>
          <w:lang w:val="en-US" w:eastAsia="zh-CN" w:bidi="ar-SA"/>
        </w:rPr>
        <w:t>报告范围</w:t>
      </w:r>
      <w:bookmarkEnd w:id="23"/>
      <w:bookmarkEnd w:id="24"/>
      <w:bookmarkEnd w:id="25"/>
    </w:p>
    <w:p>
      <w:pPr>
        <w:pStyle w:val="29"/>
        <w:keepNext w:val="0"/>
        <w:keepLines w:val="0"/>
        <w:pageBreakBefore w:val="0"/>
        <w:widowControl/>
        <w:kinsoku/>
        <w:wordWrap/>
        <w:overflowPunct/>
        <w:topLinePunct w:val="0"/>
        <w:bidi w:val="0"/>
        <w:adjustRightInd w:val="0"/>
        <w:snapToGrid w:val="0"/>
        <w:spacing w:line="590" w:lineRule="exact"/>
        <w:ind w:right="0" w:rightChars="0" w:firstLine="480"/>
        <w:textAlignment w:val="auto"/>
        <w:rPr>
          <w:rFonts w:hint="eastAsia" w:ascii="仿宋_GB2312" w:hAnsi="仿宋_GB2312" w:eastAsia="仿宋_GB2312" w:cs="仿宋_GB2312"/>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本报告的披露范围包含交通银行股份有限公司湖州分行及辖内分支机构，为便于表述，在报告的表述中使用“本行”。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楷体_GBK" w:hAnsi="方正楷体_GBK" w:eastAsia="方正楷体_GBK" w:cs="方正楷体_GBK"/>
          <w:b/>
          <w:bCs/>
          <w:kern w:val="0"/>
          <w:sz w:val="32"/>
          <w:szCs w:val="32"/>
          <w:lang w:val="en-US" w:eastAsia="zh-CN" w:bidi="ar-SA"/>
        </w:rPr>
      </w:pPr>
      <w:bookmarkStart w:id="26" w:name="_Toc4909"/>
      <w:bookmarkStart w:id="27" w:name="_Toc15063"/>
      <w:bookmarkStart w:id="28" w:name="_Toc577"/>
      <w:r>
        <w:rPr>
          <w:rFonts w:hint="eastAsia" w:ascii="方正楷体_GBK" w:hAnsi="方正楷体_GBK" w:eastAsia="方正楷体_GBK" w:cs="方正楷体_GBK"/>
          <w:b/>
          <w:bCs/>
          <w:kern w:val="0"/>
          <w:sz w:val="32"/>
          <w:szCs w:val="32"/>
          <w:lang w:val="en-US" w:eastAsia="zh-CN" w:bidi="ar-SA"/>
        </w:rPr>
        <w:t>报告数据说明</w:t>
      </w:r>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报告中的财务数据以2024年为主，部分包括以前年度数据，主要来自分行内部文件和相关统计资料。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楷体_GBK" w:hAnsi="方正楷体_GBK" w:eastAsia="方正楷体_GBK" w:cs="方正楷体_GBK"/>
          <w:b/>
          <w:bCs/>
          <w:kern w:val="0"/>
          <w:sz w:val="32"/>
          <w:szCs w:val="32"/>
          <w:lang w:val="en-US" w:eastAsia="zh-CN" w:bidi="ar-SA"/>
        </w:rPr>
      </w:pPr>
      <w:bookmarkStart w:id="29" w:name="_Toc309"/>
      <w:bookmarkStart w:id="30" w:name="_Toc25702"/>
      <w:bookmarkStart w:id="31" w:name="_Toc27338"/>
      <w:r>
        <w:rPr>
          <w:rFonts w:hint="eastAsia" w:ascii="方正楷体_GBK" w:hAnsi="方正楷体_GBK" w:eastAsia="方正楷体_GBK" w:cs="方正楷体_GBK"/>
          <w:b/>
          <w:bCs/>
          <w:kern w:val="0"/>
          <w:sz w:val="32"/>
          <w:szCs w:val="32"/>
          <w:lang w:val="en-US" w:eastAsia="zh-CN" w:bidi="ar-SA"/>
        </w:rPr>
        <w:t>编制依据</w:t>
      </w:r>
      <w:bookmarkEnd w:id="29"/>
      <w:bookmarkEnd w:id="30"/>
      <w:bookmarkEnd w:id="31"/>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本报告内容遵循湖州市国家绿色金融改革创新试验区建设工作领导小组办公室发布的《绿色金融改革创新试验区银行业金融机构环境信息披露操作手册》及《湖州市银行机构可持续相关信息披露初步框架》相关要求。</w:t>
      </w:r>
    </w:p>
    <w:p>
      <w:pPr>
        <w:pStyle w:val="4"/>
        <w:rPr>
          <w:rFonts w:hint="eastAsia" w:ascii="方正仿宋_GBK" w:hAnsi="方正仿宋_GBK" w:eastAsia="方正仿宋_GBK" w:cs="方正仿宋_GBK"/>
          <w:kern w:val="0"/>
          <w:sz w:val="32"/>
          <w:szCs w:val="32"/>
          <w:lang w:val="en-US" w:eastAsia="zh-CN" w:bidi="ar-SA"/>
        </w:rPr>
      </w:pPr>
    </w:p>
    <w:p>
      <w:pPr>
        <w:pStyle w:val="4"/>
        <w:rPr>
          <w:rFonts w:hint="eastAsia" w:ascii="方正仿宋_GBK" w:hAnsi="方正仿宋_GBK" w:eastAsia="方正仿宋_GBK" w:cs="方正仿宋_GBK"/>
          <w:kern w:val="0"/>
          <w:sz w:val="32"/>
          <w:szCs w:val="32"/>
          <w:lang w:val="en-US" w:eastAsia="zh-CN" w:bidi="ar-SA"/>
        </w:rPr>
      </w:pPr>
    </w:p>
    <w:p>
      <w:pPr>
        <w:pStyle w:val="4"/>
        <w:rPr>
          <w:rFonts w:hint="eastAsia" w:ascii="方正仿宋_GBK" w:hAnsi="方正仿宋_GBK" w:eastAsia="方正仿宋_GBK" w:cs="方正仿宋_GBK"/>
          <w:kern w:val="0"/>
          <w:sz w:val="32"/>
          <w:szCs w:val="32"/>
          <w:lang w:val="en-US" w:eastAsia="zh-CN" w:bidi="ar-SA"/>
        </w:rPr>
      </w:pPr>
    </w:p>
    <w:p>
      <w:pPr>
        <w:pStyle w:val="4"/>
        <w:rPr>
          <w:rFonts w:hint="eastAsia" w:ascii="方正仿宋_GBK" w:hAnsi="方正仿宋_GBK" w:eastAsia="方正仿宋_GBK" w:cs="方正仿宋_GBK"/>
          <w:kern w:val="0"/>
          <w:sz w:val="32"/>
          <w:szCs w:val="32"/>
          <w:lang w:val="en-US" w:eastAsia="zh-CN" w:bidi="ar-SA"/>
        </w:rPr>
      </w:pPr>
    </w:p>
    <w:p>
      <w:pPr>
        <w:pStyle w:val="4"/>
        <w:rPr>
          <w:rFonts w:hint="eastAsia" w:ascii="方正仿宋_GBK" w:hAnsi="方正仿宋_GBK" w:eastAsia="方正仿宋_GBK" w:cs="方正仿宋_GBK"/>
          <w:kern w:val="0"/>
          <w:sz w:val="32"/>
          <w:szCs w:val="32"/>
          <w:lang w:val="en-US" w:eastAsia="zh-CN" w:bidi="ar-SA"/>
        </w:rPr>
      </w:pPr>
    </w:p>
    <w:p>
      <w:pPr>
        <w:pStyle w:val="4"/>
        <w:rPr>
          <w:rFonts w:hint="eastAsia" w:ascii="方正仿宋_GBK" w:hAnsi="方正仿宋_GBK" w:eastAsia="方正仿宋_GBK" w:cs="方正仿宋_GBK"/>
          <w:kern w:val="0"/>
          <w:sz w:val="32"/>
          <w:szCs w:val="32"/>
          <w:lang w:val="en-US" w:eastAsia="zh-CN" w:bidi="ar-SA"/>
        </w:rPr>
      </w:pPr>
    </w:p>
    <w:p>
      <w:pPr>
        <w:pStyle w:val="4"/>
        <w:rPr>
          <w:rFonts w:hint="eastAsia" w:ascii="方正仿宋_GBK" w:hAnsi="方正仿宋_GBK" w:eastAsia="方正仿宋_GBK" w:cs="方正仿宋_GBK"/>
          <w:kern w:val="0"/>
          <w:sz w:val="32"/>
          <w:szCs w:val="32"/>
          <w:lang w:val="en-US" w:eastAsia="zh-CN" w:bidi="ar-SA"/>
        </w:rPr>
      </w:pPr>
    </w:p>
    <w:p>
      <w:pPr>
        <w:pStyle w:val="4"/>
        <w:rPr>
          <w:rFonts w:hint="eastAsia" w:ascii="方正仿宋_GBK" w:hAnsi="方正仿宋_GBK" w:eastAsia="方正仿宋_GBK" w:cs="方正仿宋_GBK"/>
          <w:kern w:val="0"/>
          <w:sz w:val="32"/>
          <w:szCs w:val="32"/>
          <w:lang w:val="en-US" w:eastAsia="zh-CN" w:bidi="ar-SA"/>
        </w:rPr>
      </w:pPr>
    </w:p>
    <w:p>
      <w:pPr>
        <w:pStyle w:val="4"/>
        <w:rPr>
          <w:rFonts w:hint="eastAsia" w:ascii="方正仿宋_GBK" w:hAnsi="方正仿宋_GBK" w:eastAsia="方正仿宋_GBK" w:cs="方正仿宋_GBK"/>
          <w:kern w:val="0"/>
          <w:sz w:val="32"/>
          <w:szCs w:val="32"/>
          <w:lang w:val="en-US" w:eastAsia="zh-CN" w:bidi="ar-SA"/>
        </w:rPr>
      </w:pPr>
    </w:p>
    <w:p>
      <w:pPr>
        <w:pStyle w:val="4"/>
        <w:rPr>
          <w:rFonts w:hint="eastAsia" w:ascii="方正仿宋_GBK" w:hAnsi="方正仿宋_GBK" w:eastAsia="方正仿宋_GBK" w:cs="方正仿宋_GBK"/>
          <w:kern w:val="0"/>
          <w:sz w:val="32"/>
          <w:szCs w:val="32"/>
          <w:lang w:val="en-US" w:eastAsia="zh-CN" w:bidi="ar-SA"/>
        </w:rPr>
      </w:pPr>
    </w:p>
    <w:p>
      <w:pPr>
        <w:pStyle w:val="4"/>
        <w:rPr>
          <w:rFonts w:hint="eastAsia" w:ascii="方正仿宋_GBK" w:hAnsi="方正仿宋_GBK" w:eastAsia="方正仿宋_GBK" w:cs="方正仿宋_GBK"/>
          <w:kern w:val="0"/>
          <w:sz w:val="32"/>
          <w:szCs w:val="32"/>
          <w:lang w:val="en-US" w:eastAsia="zh-CN" w:bidi="ar-SA"/>
        </w:rPr>
      </w:pPr>
    </w:p>
    <w:p>
      <w:pPr>
        <w:pStyle w:val="4"/>
        <w:rPr>
          <w:rFonts w:hint="eastAsia" w:ascii="方正仿宋_GBK" w:hAnsi="方正仿宋_GBK" w:eastAsia="方正仿宋_GBK" w:cs="方正仿宋_GBK"/>
          <w:kern w:val="0"/>
          <w:sz w:val="32"/>
          <w:szCs w:val="32"/>
          <w:lang w:val="en-US" w:eastAsia="zh-CN" w:bidi="ar-SA"/>
        </w:rPr>
      </w:pPr>
    </w:p>
    <w:p>
      <w:pPr>
        <w:pStyle w:val="4"/>
        <w:rPr>
          <w:rFonts w:hint="eastAsia" w:ascii="方正仿宋_GBK" w:hAnsi="方正仿宋_GBK" w:eastAsia="方正仿宋_GBK" w:cs="方正仿宋_GBK"/>
          <w:kern w:val="0"/>
          <w:sz w:val="32"/>
          <w:szCs w:val="32"/>
          <w:lang w:val="en-US" w:eastAsia="zh-CN" w:bidi="ar-SA"/>
        </w:rPr>
      </w:pPr>
    </w:p>
    <w:p>
      <w:pPr>
        <w:pStyle w:val="4"/>
        <w:rPr>
          <w:rFonts w:hint="eastAsia" w:ascii="方正仿宋_GBK" w:hAnsi="方正仿宋_GBK" w:eastAsia="方正仿宋_GBK" w:cs="方正仿宋_GBK"/>
          <w:kern w:val="0"/>
          <w:sz w:val="32"/>
          <w:szCs w:val="32"/>
          <w:lang w:val="en-US" w:eastAsia="zh-CN" w:bidi="ar-SA"/>
        </w:rPr>
      </w:pPr>
    </w:p>
    <w:p>
      <w:pPr>
        <w:pStyle w:val="4"/>
        <w:rPr>
          <w:rFonts w:hint="eastAsia" w:ascii="方正仿宋_GBK" w:hAnsi="方正仿宋_GBK" w:eastAsia="方正仿宋_GBK" w:cs="方正仿宋_GBK"/>
          <w:kern w:val="0"/>
          <w:sz w:val="32"/>
          <w:szCs w:val="32"/>
          <w:lang w:val="en-US" w:eastAsia="zh-CN" w:bidi="ar-SA"/>
        </w:rPr>
      </w:pPr>
    </w:p>
    <w:p>
      <w:pPr>
        <w:pStyle w:val="4"/>
        <w:rPr>
          <w:rFonts w:hint="eastAsia" w:ascii="方正仿宋_GBK" w:hAnsi="方正仿宋_GBK" w:eastAsia="方正仿宋_GBK" w:cs="方正仿宋_GBK"/>
          <w:kern w:val="0"/>
          <w:sz w:val="32"/>
          <w:szCs w:val="32"/>
          <w:lang w:val="en-US" w:eastAsia="zh-CN" w:bidi="ar-SA"/>
        </w:rPr>
      </w:pPr>
    </w:p>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eastAsia" w:ascii="方正黑体_GBK" w:hAnsi="方正黑体_GBK" w:eastAsia="方正黑体_GBK" w:cs="方正黑体_GBK"/>
          <w:b w:val="0"/>
          <w:bCs/>
          <w:sz w:val="32"/>
          <w:szCs w:val="32"/>
          <w:lang w:val="zh-TW" w:eastAsia="zh-TW"/>
        </w:rPr>
      </w:pPr>
      <w:bookmarkStart w:id="32" w:name="_Toc12059"/>
      <w:bookmarkStart w:id="33" w:name="_Toc18114"/>
      <w:bookmarkStart w:id="34" w:name="_Toc21040"/>
      <w:bookmarkStart w:id="35" w:name="_Toc23364"/>
      <w:r>
        <w:rPr>
          <w:rFonts w:hint="eastAsia" w:ascii="方正黑体_GBK" w:hAnsi="方正黑体_GBK" w:eastAsia="方正黑体_GBK" w:cs="方正黑体_GBK"/>
          <w:b w:val="0"/>
          <w:bCs/>
          <w:sz w:val="32"/>
          <w:szCs w:val="32"/>
          <w:lang w:val="zh-TW" w:eastAsia="zh-CN"/>
        </w:rPr>
        <w:t>年度</w:t>
      </w:r>
      <w:r>
        <w:rPr>
          <w:rFonts w:hint="eastAsia" w:ascii="方正黑体_GBK" w:hAnsi="方正黑体_GBK" w:eastAsia="方正黑体_GBK" w:cs="方正黑体_GBK"/>
          <w:b w:val="0"/>
          <w:bCs/>
          <w:sz w:val="32"/>
          <w:szCs w:val="32"/>
          <w:lang w:val="zh-TW" w:eastAsia="zh-TW"/>
        </w:rPr>
        <w:t>概况</w:t>
      </w:r>
      <w:bookmarkEnd w:id="32"/>
      <w:bookmarkEnd w:id="33"/>
      <w:bookmarkEnd w:id="34"/>
    </w:p>
    <w:bookmarkEnd w:id="35"/>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1.1总体概况</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交通银行湖州分行作为系统内首家绿色金融业务创新试点行，2024年以来坚持以绿水青山就是金山银山理念为引领，聚焦主责主业，围绕金融“五篇大文章”，践行金融工作的政治性和人民性，扎实推进绿色金融改革创新各项工作，擦亮交行绿色经营底色，以绿色视角推动业务高质量发展，全面支持湖州经济社会发展绿色低碳转型。</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一是</w:t>
      </w:r>
      <w:r>
        <w:rPr>
          <w:rFonts w:hint="eastAsia" w:ascii="方正仿宋_GBK" w:hAnsi="方正仿宋_GBK" w:eastAsia="方正仿宋_GBK" w:cs="方正仿宋_GBK"/>
          <w:kern w:val="0"/>
          <w:sz w:val="32"/>
          <w:szCs w:val="32"/>
          <w:lang w:val="en-US" w:eastAsia="zh-CN"/>
        </w:rPr>
        <w:t>深化机制引领，持续提升体系建设</w:t>
      </w:r>
      <w:r>
        <w:rPr>
          <w:rFonts w:hint="eastAsia" w:ascii="方正仿宋_GBK" w:hAnsi="方正仿宋_GBK" w:eastAsia="方正仿宋_GBK" w:cs="方正仿宋_GBK"/>
          <w:kern w:val="0"/>
          <w:sz w:val="32"/>
          <w:szCs w:val="32"/>
        </w:rPr>
        <w:t>。在已成立</w:t>
      </w:r>
      <w:r>
        <w:rPr>
          <w:rFonts w:hint="eastAsia" w:ascii="方正仿宋_GBK" w:hAnsi="方正仿宋_GBK" w:eastAsia="方正仿宋_GBK" w:cs="方正仿宋_GBK"/>
          <w:kern w:val="0"/>
          <w:sz w:val="32"/>
          <w:szCs w:val="32"/>
          <w:lang w:val="en-US" w:eastAsia="zh-CN"/>
        </w:rPr>
        <w:t>湖州分行</w:t>
      </w:r>
      <w:r>
        <w:rPr>
          <w:rFonts w:hint="eastAsia" w:ascii="方正仿宋_GBK" w:hAnsi="方正仿宋_GBK" w:eastAsia="方正仿宋_GBK" w:cs="方正仿宋_GBK"/>
          <w:kern w:val="0"/>
          <w:sz w:val="32"/>
          <w:szCs w:val="32"/>
        </w:rPr>
        <w:t>绿色金融发展委员会</w:t>
      </w:r>
      <w:r>
        <w:rPr>
          <w:rFonts w:hint="eastAsia" w:ascii="方正仿宋_GBK" w:hAnsi="方正仿宋_GBK" w:eastAsia="方正仿宋_GBK" w:cs="方正仿宋_GBK"/>
          <w:kern w:val="0"/>
          <w:sz w:val="32"/>
          <w:szCs w:val="32"/>
          <w:lang w:val="en-US" w:eastAsia="zh-CN"/>
        </w:rPr>
        <w:t>和</w:t>
      </w:r>
      <w:r>
        <w:rPr>
          <w:rFonts w:hint="eastAsia" w:ascii="方正仿宋_GBK" w:hAnsi="方正仿宋_GBK" w:eastAsia="方正仿宋_GBK" w:cs="方正仿宋_GBK"/>
          <w:kern w:val="0"/>
          <w:sz w:val="32"/>
          <w:szCs w:val="32"/>
        </w:rPr>
        <w:t>碳中和银行网点建设领导小组</w:t>
      </w:r>
      <w:r>
        <w:rPr>
          <w:rFonts w:hint="eastAsia" w:ascii="方正仿宋_GBK" w:hAnsi="方正仿宋_GBK" w:eastAsia="方正仿宋_GBK" w:cs="方正仿宋_GBK"/>
          <w:kern w:val="0"/>
          <w:sz w:val="32"/>
          <w:szCs w:val="32"/>
          <w:lang w:val="en-US" w:eastAsia="zh-CN"/>
        </w:rPr>
        <w:t>的基础上，</w:t>
      </w:r>
      <w:r>
        <w:rPr>
          <w:rFonts w:hint="eastAsia" w:ascii="方正仿宋_GBK" w:hAnsi="方正仿宋_GBK" w:eastAsia="方正仿宋_GBK" w:cs="方正仿宋_GBK"/>
          <w:kern w:val="0"/>
          <w:sz w:val="32"/>
          <w:szCs w:val="32"/>
          <w:lang w:val="en-US" w:eastAsia="zh-CN" w:bidi="ar-SA"/>
        </w:rPr>
        <w:t>成立绿色金融管理部和绿色金融营销专班，推动全行绿色金融业务的高质量发展</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德清支行获评“碳中和”一星级网点，长兴支行获评总行绿色特色机构。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sz w:val="32"/>
          <w:szCs w:val="32"/>
          <w:lang w:val="en-US" w:eastAsia="zh-CN"/>
        </w:rPr>
        <w:t>二是</w:t>
      </w:r>
      <w:r>
        <w:rPr>
          <w:rFonts w:hint="default" w:ascii="方正仿宋_GBK" w:hAnsi="方正仿宋_GBK" w:eastAsia="方正仿宋_GBK" w:cs="方正仿宋_GBK"/>
          <w:sz w:val="32"/>
          <w:szCs w:val="32"/>
          <w:lang w:val="en-US" w:eastAsia="zh-CN"/>
        </w:rPr>
        <w:t>优化信贷供给结构</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绿色信贷增速及占比显著提升。</w:t>
      </w:r>
      <w:r>
        <w:rPr>
          <w:rFonts w:hint="eastAsia" w:ascii="方正仿宋_GBK" w:hAnsi="方正仿宋_GBK" w:eastAsia="方正仿宋_GBK" w:cs="方正仿宋_GBK"/>
          <w:color w:val="auto"/>
          <w:kern w:val="0"/>
          <w:sz w:val="32"/>
          <w:szCs w:val="32"/>
          <w:highlight w:val="none"/>
        </w:rPr>
        <w:t>截至202</w:t>
      </w:r>
      <w:r>
        <w:rPr>
          <w:rFonts w:hint="eastAsia" w:ascii="方正仿宋_GBK" w:hAnsi="方正仿宋_GBK" w:eastAsia="方正仿宋_GBK" w:cs="方正仿宋_GBK"/>
          <w:color w:val="auto"/>
          <w:kern w:val="0"/>
          <w:sz w:val="32"/>
          <w:szCs w:val="32"/>
          <w:highlight w:val="none"/>
          <w:lang w:val="en-US" w:eastAsia="zh-CN"/>
        </w:rPr>
        <w:t>4</w:t>
      </w:r>
      <w:r>
        <w:rPr>
          <w:rFonts w:hint="eastAsia" w:ascii="方正仿宋_GBK" w:hAnsi="方正仿宋_GBK" w:eastAsia="方正仿宋_GBK" w:cs="方正仿宋_GBK"/>
          <w:color w:val="auto"/>
          <w:kern w:val="0"/>
          <w:sz w:val="32"/>
          <w:szCs w:val="32"/>
          <w:highlight w:val="none"/>
        </w:rPr>
        <w:t>年末，</w:t>
      </w:r>
      <w:r>
        <w:rPr>
          <w:rFonts w:hint="eastAsia" w:ascii="方正仿宋_GBK" w:hAnsi="方正仿宋_GBK" w:eastAsia="方正仿宋_GBK" w:cs="方正仿宋_GBK"/>
          <w:color w:val="auto"/>
          <w:kern w:val="0"/>
          <w:sz w:val="32"/>
          <w:szCs w:val="32"/>
          <w:highlight w:val="none"/>
          <w:lang w:val="en-US" w:eastAsia="zh-CN"/>
        </w:rPr>
        <w:t>交通银行湖州分行</w:t>
      </w:r>
      <w:bookmarkStart w:id="50" w:name="_GoBack"/>
      <w:bookmarkEnd w:id="50"/>
      <w:r>
        <w:rPr>
          <w:rFonts w:hint="eastAsia" w:ascii="方正仿宋_GBK" w:hAnsi="方正仿宋_GBK" w:eastAsia="方正仿宋_GBK" w:cs="方正仿宋_GBK"/>
          <w:color w:val="auto"/>
          <w:kern w:val="0"/>
          <w:sz w:val="32"/>
          <w:szCs w:val="32"/>
          <w:highlight w:val="none"/>
          <w:lang w:val="zh-TW" w:eastAsia="zh-CN" w:bidi="ar-SA"/>
        </w:rPr>
        <w:t>人行</w:t>
      </w:r>
      <w:r>
        <w:rPr>
          <w:rFonts w:hint="eastAsia" w:ascii="方正仿宋_GBK" w:hAnsi="方正仿宋_GBK" w:eastAsia="方正仿宋_GBK" w:cs="方正仿宋_GBK"/>
          <w:color w:val="auto"/>
          <w:kern w:val="0"/>
          <w:sz w:val="32"/>
          <w:szCs w:val="32"/>
          <w:highlight w:val="none"/>
          <w:lang w:val="en-US" w:eastAsia="zh-CN" w:bidi="ar-SA"/>
        </w:rPr>
        <w:t>口径绿色信贷余额较年初增幅</w:t>
      </w:r>
      <w:r>
        <w:rPr>
          <w:rFonts w:hint="eastAsia" w:ascii="方正仿宋_GBK" w:hAnsi="方正仿宋_GBK" w:eastAsia="方正仿宋_GBK" w:cs="方正仿宋_GBK"/>
          <w:color w:val="auto"/>
          <w:sz w:val="32"/>
          <w:szCs w:val="32"/>
          <w:highlight w:val="none"/>
          <w:lang w:val="en-US" w:eastAsia="zh-CN"/>
        </w:rPr>
        <w:t>20.45</w:t>
      </w:r>
      <w:r>
        <w:rPr>
          <w:rFonts w:hint="eastAsia" w:ascii="方正仿宋_GBK" w:hAnsi="方正仿宋_GBK" w:eastAsia="方正仿宋_GBK" w:cs="方正仿宋_GBK"/>
          <w:color w:val="auto"/>
          <w:kern w:val="0"/>
          <w:sz w:val="32"/>
          <w:szCs w:val="32"/>
          <w:highlight w:val="none"/>
          <w:lang w:val="en-US" w:eastAsia="zh-CN" w:bidi="ar-SA"/>
        </w:rPr>
        <w:t>%，占全部贷款</w:t>
      </w:r>
      <w:r>
        <w:rPr>
          <w:rFonts w:hint="eastAsia" w:ascii="方正仿宋_GBK" w:hAnsi="方正仿宋_GBK" w:eastAsia="方正仿宋_GBK" w:cs="方正仿宋_GBK"/>
          <w:color w:val="auto"/>
          <w:sz w:val="32"/>
          <w:szCs w:val="32"/>
          <w:highlight w:val="none"/>
          <w:lang w:val="en-US" w:eastAsia="zh-CN"/>
        </w:rPr>
        <w:t>29.55</w:t>
      </w:r>
      <w:r>
        <w:rPr>
          <w:rFonts w:hint="eastAsia" w:ascii="方正仿宋_GBK" w:hAnsi="方正仿宋_GBK" w:eastAsia="方正仿宋_GBK" w:cs="方正仿宋_GBK"/>
          <w:color w:val="auto"/>
          <w:kern w:val="0"/>
          <w:sz w:val="32"/>
          <w:szCs w:val="32"/>
          <w:highlight w:val="none"/>
          <w:lang w:val="en-US" w:eastAsia="zh-CN" w:bidi="ar-SA"/>
        </w:rPr>
        <w:t>%。金监口径绿色信贷余额较年初增幅18.27%，占全部贷款27.59%。绿色信贷余额增速高于全部贷款余额增速。在发展绿色信贷的同时，助力营造绿色金融环境，防范金融风险，截至2024年末，本行资产不良率0.26%，较年初下降0.05个百分点，绿色信贷不良率0.01%，其中对公客户绿色信贷不良率为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三是加强政银企合作，搭建绿色低碳转型领域合作通道。全周期参与绿色工厂培育，开展“走进绿色工厂”大型走访活动，有效送达最新政策与产品。与经信局联合发文，从聚焦重点行业开发转型融资产品配套信用额度、聚焦外贸业务创新打造绿色国际通道、聚焦服务质效创新建立绿色审批团队三方面，全力支持全市工业领域绿色低碳发展。在此基础上，联合召开全市印染行业提标提效现场推进会暨大规模设备更新对接会和2024年印染行业节能技术工艺装备推广银企对接会。积极推动省分行与湖州市人民政府签订450亿元战略合作协议，支持湖州建设转型金融改革创新省级试点。</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四</w:t>
      </w:r>
      <w:r>
        <w:rPr>
          <w:rFonts w:hint="eastAsia" w:ascii="方正仿宋_GBK" w:hAnsi="方正仿宋_GBK" w:eastAsia="方正仿宋_GBK" w:cs="方正仿宋_GBK"/>
          <w:kern w:val="0"/>
          <w:sz w:val="32"/>
          <w:szCs w:val="32"/>
        </w:rPr>
        <w:t>是</w:t>
      </w:r>
      <w:r>
        <w:rPr>
          <w:rFonts w:hint="eastAsia" w:ascii="方正仿宋_GBK" w:hAnsi="方正仿宋_GBK" w:eastAsia="方正仿宋_GBK" w:cs="方正仿宋_GBK"/>
          <w:kern w:val="0"/>
          <w:sz w:val="32"/>
          <w:szCs w:val="32"/>
          <w:lang w:val="en-US" w:eastAsia="zh-CN"/>
        </w:rPr>
        <w:t>深化</w:t>
      </w:r>
      <w:r>
        <w:rPr>
          <w:rFonts w:hint="eastAsia" w:ascii="方正仿宋_GBK" w:hAnsi="方正仿宋_GBK" w:eastAsia="方正仿宋_GBK" w:cs="方正仿宋_GBK"/>
          <w:kern w:val="0"/>
          <w:sz w:val="32"/>
          <w:szCs w:val="32"/>
        </w:rPr>
        <w:t>转型金融</w:t>
      </w:r>
      <w:r>
        <w:rPr>
          <w:rFonts w:hint="eastAsia" w:ascii="方正仿宋_GBK" w:hAnsi="方正仿宋_GBK" w:eastAsia="方正仿宋_GBK" w:cs="方正仿宋_GBK"/>
          <w:kern w:val="0"/>
          <w:sz w:val="32"/>
          <w:szCs w:val="32"/>
          <w:lang w:val="en-US" w:eastAsia="zh-CN"/>
        </w:rPr>
        <w:t>实践</w:t>
      </w:r>
      <w:r>
        <w:rPr>
          <w:rFonts w:hint="eastAsia" w:ascii="方正仿宋_GBK" w:hAnsi="方正仿宋_GBK" w:eastAsia="方正仿宋_GBK" w:cs="方正仿宋_GBK"/>
          <w:kern w:val="0"/>
          <w:sz w:val="32"/>
          <w:szCs w:val="32"/>
        </w:rPr>
        <w:t>，推动高碳行业低碳转型。本行将推进转型金融工作提升到全行战略高度，积极开展研究推进。积极响应浙江农业转型标准试点工作，落地浙江省首笔农业转型</w:t>
      </w:r>
      <w:r>
        <w:rPr>
          <w:rFonts w:hint="eastAsia" w:ascii="方正仿宋_GBK" w:hAnsi="方正仿宋_GBK" w:eastAsia="方正仿宋_GBK" w:cs="方正仿宋_GBK"/>
          <w:color w:val="auto"/>
          <w:kern w:val="0"/>
          <w:sz w:val="32"/>
          <w:szCs w:val="32"/>
        </w:rPr>
        <w:t>贷款</w:t>
      </w:r>
      <w:r>
        <w:rPr>
          <w:rFonts w:hint="eastAsia" w:ascii="方正仿宋_GBK" w:hAnsi="方正仿宋_GBK" w:eastAsia="方正仿宋_GBK" w:cs="方正仿宋_GBK"/>
          <w:color w:val="auto"/>
          <w:kern w:val="0"/>
          <w:sz w:val="32"/>
          <w:szCs w:val="32"/>
          <w:lang w:val="en-US" w:eastAsia="zh-CN"/>
        </w:rPr>
        <w:t>1亿元</w:t>
      </w:r>
      <w:r>
        <w:rPr>
          <w:rFonts w:hint="eastAsia" w:ascii="方正仿宋_GBK" w:hAnsi="方正仿宋_GBK" w:eastAsia="方正仿宋_GBK" w:cs="方正仿宋_GBK"/>
          <w:color w:val="auto"/>
          <w:kern w:val="0"/>
          <w:sz w:val="32"/>
          <w:szCs w:val="32"/>
        </w:rPr>
        <w:t>，也是首单将碳强度和ESG评价双挂钩的转型贷款。</w:t>
      </w:r>
      <w:r>
        <w:rPr>
          <w:rFonts w:hint="eastAsia" w:ascii="方正仿宋_GBK" w:hAnsi="方正仿宋_GBK" w:eastAsia="方正仿宋_GBK" w:cs="方正仿宋_GBK"/>
          <w:color w:val="auto"/>
          <w:kern w:val="0"/>
          <w:sz w:val="32"/>
          <w:szCs w:val="32"/>
          <w:lang w:val="en-US" w:eastAsia="zh-CN"/>
        </w:rPr>
        <w:t>2024年，</w:t>
      </w:r>
      <w:r>
        <w:rPr>
          <w:rFonts w:hint="eastAsia" w:ascii="方正仿宋_GBK" w:hAnsi="方正仿宋_GBK" w:eastAsia="方正仿宋_GBK" w:cs="方正仿宋_GBK"/>
          <w:color w:val="auto"/>
          <w:kern w:val="0"/>
          <w:sz w:val="32"/>
          <w:szCs w:val="32"/>
        </w:rPr>
        <w:t>对照《湖州市转型金融支持</w:t>
      </w:r>
      <w:r>
        <w:rPr>
          <w:rFonts w:hint="eastAsia" w:ascii="方正仿宋_GBK" w:hAnsi="方正仿宋_GBK" w:eastAsia="方正仿宋_GBK" w:cs="方正仿宋_GBK"/>
          <w:color w:val="auto"/>
          <w:kern w:val="0"/>
          <w:sz w:val="32"/>
          <w:szCs w:val="32"/>
          <w:lang w:val="en-US" w:eastAsia="zh-CN"/>
        </w:rPr>
        <w:t>项目清单</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、《湖州市企业转型活动</w:t>
      </w:r>
      <w:r>
        <w:rPr>
          <w:rFonts w:hint="eastAsia" w:ascii="方正仿宋_GBK" w:hAnsi="方正仿宋_GBK" w:eastAsia="方正仿宋_GBK" w:cs="方正仿宋_GBK"/>
          <w:color w:val="auto"/>
          <w:kern w:val="0"/>
          <w:sz w:val="32"/>
          <w:szCs w:val="32"/>
          <w:lang w:val="en-US" w:eastAsia="zh-CN"/>
        </w:rPr>
        <w:t>清单</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我行</w:t>
      </w:r>
      <w:r>
        <w:rPr>
          <w:rFonts w:hint="eastAsia" w:ascii="方正仿宋_GBK" w:hAnsi="方正仿宋_GBK" w:eastAsia="方正仿宋_GBK" w:cs="方正仿宋_GBK"/>
          <w:color w:val="auto"/>
          <w:kern w:val="0"/>
          <w:sz w:val="32"/>
          <w:szCs w:val="32"/>
          <w:lang w:val="en-US" w:eastAsia="zh-CN"/>
        </w:rPr>
        <w:t>新增为5家企业提供1.63亿元信贷资金支持企业低碳转型</w:t>
      </w:r>
      <w:r>
        <w:rPr>
          <w:rFonts w:hint="eastAsia" w:ascii="方正仿宋_GBK" w:hAnsi="方正仿宋_GBK" w:eastAsia="方正仿宋_GBK" w:cs="方正仿宋_GBK"/>
          <w:color w:val="auto"/>
          <w:kern w:val="0"/>
          <w:sz w:val="32"/>
          <w:szCs w:val="32"/>
        </w:rPr>
        <w:t>。</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五是加强数字化改革，深化ESG 评价结果运用与产品创新。在</w:t>
      </w:r>
      <w:r>
        <w:rPr>
          <w:rFonts w:hint="eastAsia" w:ascii="方正仿宋_GBK" w:hAnsi="方正仿宋_GBK" w:eastAsia="方正仿宋_GBK" w:cs="方正仿宋_GBK"/>
          <w:color w:val="auto"/>
          <w:kern w:val="0"/>
          <w:sz w:val="32"/>
          <w:szCs w:val="32"/>
          <w:highlight w:val="none"/>
        </w:rPr>
        <w:t>建成交通银行系统内首个地方特色版ESG</w:t>
      </w:r>
      <w:r>
        <w:rPr>
          <w:rFonts w:hint="eastAsia" w:ascii="方正仿宋_GBK" w:hAnsi="方正仿宋_GBK" w:eastAsia="方正仿宋_GBK" w:cs="方正仿宋_GBK"/>
          <w:color w:val="auto"/>
          <w:kern w:val="0"/>
          <w:sz w:val="32"/>
          <w:szCs w:val="32"/>
          <w:highlight w:val="none"/>
          <w:lang w:val="en-US" w:eastAsia="zh-CN"/>
        </w:rPr>
        <w:t>评价体系的基础上，创新推出ESG智造贷，将绿色金融、科技金融与传统信贷业务相结合，通过引入ESG数据考量，提升为达到减碳目标积极调整设备、产品的优质客户的授信支持。2024年累计提供“智造贷”授信敞口36.38亿元。</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kern w:val="0"/>
          <w:sz w:val="32"/>
          <w:szCs w:val="32"/>
        </w:rPr>
        <w:t>六是强化品牌建设</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加大绿色理念宣传</w:t>
      </w:r>
      <w:r>
        <w:rPr>
          <w:rFonts w:hint="eastAsia" w:ascii="方正仿宋_GBK" w:hAnsi="方正仿宋_GBK" w:eastAsia="方正仿宋_GBK" w:cs="方正仿宋_GBK"/>
          <w:kern w:val="0"/>
          <w:sz w:val="32"/>
          <w:szCs w:val="32"/>
        </w:rPr>
        <w:t>。及时总结绿色</w:t>
      </w:r>
      <w:r>
        <w:rPr>
          <w:rFonts w:hint="eastAsia" w:ascii="方正仿宋_GBK" w:hAnsi="方正仿宋_GBK" w:eastAsia="方正仿宋_GBK" w:cs="方正仿宋_GBK"/>
          <w:color w:val="auto"/>
          <w:kern w:val="0"/>
          <w:sz w:val="32"/>
          <w:szCs w:val="32"/>
        </w:rPr>
        <w:t>金融推进工作中典型案例及经验成效，通过全面宣传发声，努力提升湖州交行绿色金融品牌影响力。广泛开展内外部宣传，《绿色评价+金融！赋能企业高质量发展》、《实干争先书写“五篇大文章”交行答卷》、《碳强度+ESG”双挂钩转型贷款落地》、《绿色外汇—拓宽绿色资金供给发挥金融外汇“输血“功能》等多篇新闻报道在新华财经</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中国银行保险报网、中国人民银行浙江省分行公众号</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湖州</w:t>
      </w:r>
      <w:r>
        <w:rPr>
          <w:rFonts w:hint="eastAsia" w:ascii="方正仿宋_GBK" w:hAnsi="方正仿宋_GBK" w:eastAsia="方正仿宋_GBK" w:cs="方正仿宋_GBK"/>
          <w:color w:val="auto"/>
          <w:kern w:val="0"/>
          <w:sz w:val="32"/>
          <w:szCs w:val="32"/>
        </w:rPr>
        <w:t>大银家、湖州日报、南太湖号等平台发布。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楷体_GBK" w:hAnsi="方正楷体_GBK" w:eastAsia="方正楷体_GBK" w:cs="方正楷体_GBK"/>
          <w:b/>
          <w:bCs/>
          <w:kern w:val="0"/>
          <w:sz w:val="32"/>
          <w:szCs w:val="32"/>
          <w:lang w:val="zh-TW" w:eastAsia="zh-CN" w:bidi="ar-SA"/>
        </w:rPr>
      </w:pPr>
      <w:r>
        <w:rPr>
          <w:rFonts w:hint="eastAsia" w:ascii="方正楷体_GBK" w:hAnsi="方正楷体_GBK" w:eastAsia="方正楷体_GBK" w:cs="方正楷体_GBK"/>
          <w:b/>
          <w:bCs/>
          <w:kern w:val="0"/>
          <w:sz w:val="32"/>
          <w:szCs w:val="32"/>
          <w:lang w:val="en-US" w:eastAsia="zh-CN" w:bidi="ar-SA"/>
        </w:rPr>
        <w:t>1.2</w:t>
      </w:r>
      <w:r>
        <w:rPr>
          <w:rFonts w:hint="eastAsia" w:ascii="方正楷体_GBK" w:hAnsi="方正楷体_GBK" w:eastAsia="方正楷体_GBK" w:cs="方正楷体_GBK"/>
          <w:b/>
          <w:bCs/>
          <w:kern w:val="0"/>
          <w:sz w:val="32"/>
          <w:szCs w:val="32"/>
          <w:lang w:val="zh-TW" w:eastAsia="zh-CN" w:bidi="ar-SA"/>
        </w:rPr>
        <w:t>规划</w:t>
      </w:r>
      <w:r>
        <w:rPr>
          <w:rFonts w:hint="eastAsia" w:ascii="方正楷体_GBK" w:hAnsi="方正楷体_GBK" w:eastAsia="方正楷体_GBK" w:cs="方正楷体_GBK"/>
          <w:b/>
          <w:bCs/>
          <w:kern w:val="0"/>
          <w:sz w:val="32"/>
          <w:szCs w:val="32"/>
          <w:lang w:val="zh-TW" w:eastAsia="zh-TW" w:bidi="ar-SA"/>
        </w:rPr>
        <w:t>与目标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本行深入贯彻落实新发展理念，将绿色作为经营发展的底色，以金融力量守护绿水青山，为建设人与自然和谐共生的美丽中国保驾护航。未来，本行将进一步发挥大型商业银行推动绿色发展、助力实现“双碳”目标的重要职能，让金融活水成为绿色之水，精准滴灌绿色经济，助力绿色产业发展，引导绿色生活，为谱写人与自然和谐共生的中国式现代化贡献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xml:space="preserve">2025年本行将坚持以习近平新时代中国特色社会主义思想为指导，全面落实中央和省、市委全会精神，紧抓湖州成为绿色金融改革创新试验区以来建设发展成效领跑全国的重大优势，围绕“30·60”碳达峰、碳中和目标，进一步深入推进绿色金融和转型金融改革创新工作，加强产品和服务模式创新。2025年主要工作目标如下：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20"/>
          <w:lang w:val="en-US" w:eastAsia="zh-CN" w:bidi="ar-SA"/>
        </w:rPr>
        <w:t>一是持续提升绿色信贷余额和占比。保持绿色信贷增速高于全部贷款增速。深入挖掘企业绿色产业升级、节能改造等低碳化、绿色化转型项目。持续开展“走进绿色工厂”走访活动，深入挖掘绿</w:t>
      </w:r>
      <w:r>
        <w:rPr>
          <w:rFonts w:hint="eastAsia" w:ascii="方正仿宋_GBK" w:hAnsi="方正仿宋_GBK" w:eastAsia="方正仿宋_GBK" w:cs="方正仿宋_GBK"/>
          <w:sz w:val="32"/>
          <w:szCs w:val="32"/>
          <w:lang w:val="en-US" w:eastAsia="zh-CN"/>
        </w:rPr>
        <w:t>色企业融资需求，</w:t>
      </w:r>
      <w:r>
        <w:rPr>
          <w:rFonts w:hint="eastAsia" w:ascii="方正仿宋_GBK" w:hAnsi="方正仿宋_GBK" w:eastAsia="方正仿宋_GBK" w:cs="方正仿宋_GBK"/>
          <w:kern w:val="0"/>
          <w:sz w:val="32"/>
          <w:szCs w:val="32"/>
          <w:lang w:val="en-US" w:eastAsia="zh-CN" w:bidi="ar-SA"/>
        </w:rPr>
        <w:t>引导信贷资源向绿色信贷倾斜</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kern w:val="0"/>
          <w:sz w:val="32"/>
          <w:szCs w:val="20"/>
          <w:lang w:val="en-US" w:eastAsia="zh-CN" w:bidi="ar-SA"/>
        </w:rPr>
      </w:pPr>
      <w:r>
        <w:rPr>
          <w:rFonts w:hint="eastAsia" w:ascii="方正仿宋_GBK" w:hAnsi="方正仿宋_GBK" w:eastAsia="方正仿宋_GBK" w:cs="方正仿宋_GBK"/>
          <w:kern w:val="0"/>
          <w:sz w:val="32"/>
          <w:szCs w:val="20"/>
          <w:lang w:val="en-US" w:eastAsia="zh-CN" w:bidi="ar-SA"/>
        </w:rPr>
        <w:t>二是探索完善转型金融体系建设。</w:t>
      </w:r>
      <w:r>
        <w:rPr>
          <w:rFonts w:hint="eastAsia" w:ascii="方正仿宋_GBK" w:hAnsi="方正仿宋_GBK" w:eastAsia="方正仿宋_GBK" w:cs="方正仿宋_GBK"/>
          <w:sz w:val="32"/>
          <w:szCs w:val="32"/>
          <w:lang w:val="en-US" w:eastAsia="zh-CN"/>
        </w:rPr>
        <w:t>重点围绕企业在</w:t>
      </w:r>
      <w:r>
        <w:rPr>
          <w:rFonts w:hint="eastAsia" w:ascii="方正仿宋_GBK" w:hAnsi="方正仿宋_GBK" w:eastAsia="方正仿宋_GBK" w:cs="方正仿宋_GBK"/>
          <w:kern w:val="0"/>
          <w:sz w:val="32"/>
          <w:szCs w:val="20"/>
          <w:lang w:val="en-US" w:eastAsia="zh-CN" w:bidi="ar-SA"/>
        </w:rPr>
        <w:t>节能降碳、绿色化转型改造项目、绿色低碳运用等方面产生的金融需求，以联合开展专场培训、座谈会、政银企沙龙等形式做好服务对接，持续支持全市工业和农业等重点领域企业绿色低碳转型。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bCs/>
          <w:sz w:val="32"/>
          <w:szCs w:val="32"/>
          <w:lang w:val="en-US" w:eastAsia="zh-CN"/>
        </w:rPr>
      </w:pPr>
      <w:r>
        <w:rPr>
          <w:rFonts w:hint="eastAsia" w:ascii="方正仿宋_GBK" w:hAnsi="方正仿宋_GBK" w:eastAsia="方正仿宋_GBK" w:cs="方正仿宋_GBK"/>
          <w:kern w:val="0"/>
          <w:sz w:val="32"/>
          <w:szCs w:val="20"/>
          <w:lang w:val="en-US" w:eastAsia="zh-CN" w:bidi="ar-SA"/>
        </w:rPr>
        <w:t>三是推动绿色金融与生态金融协同发展。探索金融赋能“生态资源价值池”转化模式，将特定地域单元生态产品价值（VEP）核算结果纳入授信管理流程，创新推出VEP相关绿色金融产品，推动生态资源价值转化，以点带面推动全域土地综合整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20"/>
          <w:lang w:val="en-US" w:eastAsia="zh-CN" w:bidi="ar-SA"/>
        </w:rPr>
      </w:pPr>
      <w:bookmarkStart w:id="36" w:name="_Toc26899"/>
      <w:bookmarkStart w:id="37" w:name="_Toc26146"/>
      <w:bookmarkStart w:id="38" w:name="_Toc26958"/>
      <w:r>
        <w:rPr>
          <w:rFonts w:hint="eastAsia" w:ascii="方正仿宋_GBK" w:hAnsi="方正仿宋_GBK" w:eastAsia="方正仿宋_GBK" w:cs="方正仿宋_GBK"/>
          <w:kern w:val="0"/>
          <w:sz w:val="32"/>
          <w:szCs w:val="20"/>
          <w:lang w:val="en-US" w:eastAsia="zh-CN" w:bidi="ar-SA"/>
        </w:rPr>
        <w:t>四是以更高水准打造产品服务体系，以更强协同形成绿金发展合力，以更优服务践行绿色低碳理念。加快构建以碳中和为目标的绿色金融管理和服务体系，加快推进建立绿色金融数字化平台，充分发挥金融宣传引导作用，大力倡导绿色低碳生活方式。</w:t>
      </w:r>
    </w:p>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金融机构环境相关</w:t>
      </w:r>
      <w:r>
        <w:rPr>
          <w:rFonts w:hint="eastAsia" w:ascii="方正黑体_GBK" w:hAnsi="方正黑体_GBK" w:eastAsia="方正黑体_GBK" w:cs="方正黑体_GBK"/>
          <w:b w:val="0"/>
          <w:bCs/>
          <w:sz w:val="32"/>
          <w:szCs w:val="32"/>
          <w:lang w:val="zh-TW" w:eastAsia="zh-TW"/>
        </w:rPr>
        <w:t>治理结构</w:t>
      </w:r>
    </w:p>
    <w:bookmarkEnd w:id="36"/>
    <w:bookmarkEnd w:id="37"/>
    <w:bookmarkEnd w:id="38"/>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总行</w:t>
      </w:r>
      <w:r>
        <w:rPr>
          <w:rFonts w:hint="eastAsia" w:ascii="方正仿宋_GBK" w:hAnsi="方正仿宋_GBK" w:eastAsia="方正仿宋_GBK" w:cs="方正仿宋_GBK"/>
          <w:kern w:val="0"/>
          <w:sz w:val="32"/>
          <w:szCs w:val="32"/>
        </w:rPr>
        <w:t>董事会</w:t>
      </w:r>
      <w:r>
        <w:rPr>
          <w:rFonts w:hint="eastAsia" w:ascii="方正仿宋_GBK" w:hAnsi="方正仿宋_GBK" w:eastAsia="方正仿宋_GBK" w:cs="方正仿宋_GBK"/>
          <w:kern w:val="0"/>
          <w:sz w:val="32"/>
          <w:szCs w:val="32"/>
          <w:lang w:val="en-US" w:eastAsia="zh-CN"/>
        </w:rPr>
        <w:t>下设</w:t>
      </w:r>
      <w:r>
        <w:rPr>
          <w:rFonts w:hint="eastAsia" w:ascii="方正仿宋_GBK" w:hAnsi="方正仿宋_GBK" w:eastAsia="方正仿宋_GBK" w:cs="方正仿宋_GBK"/>
          <w:kern w:val="0"/>
          <w:sz w:val="32"/>
          <w:szCs w:val="32"/>
        </w:rPr>
        <w:t>风险管理与关联交易控制委员会</w:t>
      </w:r>
      <w:r>
        <w:rPr>
          <w:rFonts w:hint="eastAsia" w:ascii="方正仿宋_GBK" w:hAnsi="方正仿宋_GBK" w:eastAsia="方正仿宋_GBK" w:cs="方正仿宋_GBK"/>
          <w:kern w:val="0"/>
          <w:sz w:val="32"/>
          <w:szCs w:val="32"/>
          <w:lang w:eastAsia="zh-CN"/>
        </w:rPr>
        <w:t>，负责监督气候和环境相关风险及机遇管理，督导气候和环境风险汇报机制的落实，确保气候变化风险要素融入全面风险管理体系；</w:t>
      </w:r>
      <w:r>
        <w:rPr>
          <w:rFonts w:hint="eastAsia" w:ascii="方正仿宋_GBK" w:hAnsi="方正仿宋_GBK" w:eastAsia="方正仿宋_GBK" w:cs="方正仿宋_GBK"/>
          <w:kern w:val="0"/>
          <w:sz w:val="32"/>
          <w:szCs w:val="32"/>
          <w:lang w:val="en-US" w:eastAsia="zh-CN"/>
        </w:rPr>
        <w:t>下设</w:t>
      </w:r>
      <w:r>
        <w:rPr>
          <w:rFonts w:hint="eastAsia" w:ascii="方正仿宋_GBK" w:hAnsi="方正仿宋_GBK" w:eastAsia="方正仿宋_GBK" w:cs="方正仿宋_GBK"/>
          <w:kern w:val="0"/>
          <w:sz w:val="32"/>
          <w:szCs w:val="32"/>
          <w:lang w:eastAsia="zh-CN"/>
        </w:rPr>
        <w:t>社会责任（ESG）与消费者权益保护委员会，指导</w:t>
      </w:r>
      <w:r>
        <w:rPr>
          <w:rFonts w:hint="eastAsia" w:ascii="方正仿宋_GBK" w:hAnsi="方正仿宋_GBK" w:eastAsia="方正仿宋_GBK" w:cs="方正仿宋_GBK"/>
          <w:kern w:val="0"/>
          <w:sz w:val="32"/>
          <w:szCs w:val="32"/>
          <w:lang w:val="en-US" w:eastAsia="zh-CN"/>
        </w:rPr>
        <w:t>本</w:t>
      </w:r>
      <w:r>
        <w:rPr>
          <w:rFonts w:hint="eastAsia" w:ascii="方正仿宋_GBK" w:hAnsi="方正仿宋_GBK" w:eastAsia="方正仿宋_GBK" w:cs="方正仿宋_GBK"/>
          <w:kern w:val="0"/>
          <w:sz w:val="32"/>
          <w:szCs w:val="32"/>
          <w:lang w:eastAsia="zh-CN"/>
        </w:rPr>
        <w:t>行树立并推行节约、低碳、环保、可持续发展等绿色发展理念，审核本行绿色金融发展战略、绿色金融发展目标等。交通银行绿色金融发展委员会是总行经营管理领域常设性议事协调机构，</w:t>
      </w:r>
      <w:r>
        <w:rPr>
          <w:rFonts w:hint="eastAsia" w:ascii="方正仿宋_GBK" w:hAnsi="方正仿宋_GBK" w:eastAsia="方正仿宋_GBK" w:cs="方正仿宋_GBK"/>
          <w:kern w:val="0"/>
          <w:sz w:val="32"/>
          <w:szCs w:val="32"/>
          <w:lang w:val="en-US" w:eastAsia="zh-CN"/>
        </w:rPr>
        <w:t>并</w:t>
      </w:r>
      <w:r>
        <w:rPr>
          <w:rFonts w:hint="eastAsia" w:ascii="方正仿宋_GBK" w:hAnsi="方正仿宋_GBK" w:eastAsia="方正仿宋_GBK" w:cs="方正仿宋_GBK"/>
          <w:kern w:val="0"/>
          <w:sz w:val="32"/>
          <w:szCs w:val="32"/>
          <w:lang w:eastAsia="zh-CN"/>
        </w:rPr>
        <w:t>下设5个工作小组：投向政策与结构调整小组、“双碳”工作小组、对公业务小组、零售业务小组和资源保障小组。</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sz w:val="32"/>
          <w:szCs w:val="32"/>
          <w:lang w:val="en-US" w:eastAsia="zh-CN"/>
        </w:rPr>
      </w:pPr>
      <w:r>
        <w:rPr>
          <w:rFonts w:hint="eastAsia" w:ascii="方正仿宋_GBK" w:hAnsi="方正仿宋_GBK" w:eastAsia="方正仿宋_GBK" w:cs="方正仿宋_GBK"/>
          <w:kern w:val="0"/>
          <w:sz w:val="32"/>
          <w:szCs w:val="32"/>
        </w:rPr>
        <w:t>湖州分行已成立绿色金融发展委员会，领导、指导及协调全行绿金业务发展</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可持续与气候相关风险和机遇的监督和管理</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bidi="ar-SA"/>
        </w:rPr>
        <w:t>注重全行绿色理念及绿金人才的培养，各管理部门设置绿金联系人、各支行设置绿色金融指标官，协同推进全行绿色金融业务和可持续发展。同时，</w:t>
      </w:r>
      <w:r>
        <w:rPr>
          <w:rFonts w:hint="eastAsia" w:ascii="方正仿宋_GBK" w:hAnsi="方正仿宋_GBK" w:eastAsia="方正仿宋_GBK" w:cs="方正仿宋_GBK"/>
          <w:kern w:val="0"/>
          <w:sz w:val="32"/>
          <w:szCs w:val="32"/>
        </w:rPr>
        <w:t>为积极推进碳中和银行建设工作，</w:t>
      </w:r>
      <w:r>
        <w:rPr>
          <w:rFonts w:hint="eastAsia" w:ascii="方正仿宋_GBK" w:hAnsi="方正仿宋_GBK" w:eastAsia="方正仿宋_GBK" w:cs="方正仿宋_GBK"/>
          <w:kern w:val="0"/>
          <w:sz w:val="32"/>
          <w:szCs w:val="32"/>
          <w:lang w:val="en-US" w:eastAsia="zh-CN"/>
        </w:rPr>
        <w:t>已</w:t>
      </w:r>
      <w:r>
        <w:rPr>
          <w:rFonts w:hint="eastAsia" w:ascii="方正仿宋_GBK" w:hAnsi="方正仿宋_GBK" w:eastAsia="方正仿宋_GBK" w:cs="方正仿宋_GBK"/>
          <w:kern w:val="0"/>
          <w:sz w:val="32"/>
          <w:szCs w:val="32"/>
        </w:rPr>
        <w:t>成立湖州分行碳中和银行网点建设领导小组。</w:t>
      </w:r>
      <w:r>
        <w:rPr>
          <w:rFonts w:hint="eastAsia" w:ascii="方正仿宋_GBK" w:hAnsi="方正仿宋_GBK" w:eastAsia="方正仿宋_GBK" w:cs="方正仿宋_GBK"/>
          <w:kern w:val="0"/>
          <w:sz w:val="32"/>
          <w:szCs w:val="32"/>
          <w:lang w:val="en-US" w:eastAsia="zh-CN" w:bidi="ar-SA"/>
        </w:rPr>
        <w:t>在此基础上，2024年印发《交通银行湖州分行绿色金融业务组织架构改革实施方案》，新成立绿色金融管理部和绿色金融营销专班，推动全行绿色金融工作进一步提升完善。</w:t>
      </w:r>
    </w:p>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金融机构环境相关政策制度</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年，交通银行湖州分行印发了</w:t>
      </w:r>
      <w:r>
        <w:rPr>
          <w:rFonts w:hint="eastAsia" w:ascii="方正仿宋_GBK" w:hAnsi="方正仿宋_GBK" w:eastAsia="方正仿宋_GBK" w:cs="方正仿宋_GBK"/>
          <w:color w:val="auto"/>
          <w:kern w:val="0"/>
          <w:sz w:val="32"/>
          <w:szCs w:val="32"/>
          <w:highlight w:val="none"/>
          <w:lang w:val="en-US" w:eastAsia="zh-CN"/>
        </w:rPr>
        <w:t>《交通银行湖州分行ESG智造贷产品方案》、《湖州分行服务“碳中和”银行网点建设行动方案》、《交通银行湖州分行绿色金融业务组织架构改革实施方案》、《关于成立湖州分行绿色金融营销专班的通知》</w:t>
      </w:r>
      <w:r>
        <w:rPr>
          <w:rFonts w:hint="eastAsia" w:ascii="方正仿宋_GBK" w:hAnsi="方正仿宋_GBK" w:eastAsia="方正仿宋_GBK" w:cs="方正仿宋_GBK"/>
          <w:color w:val="auto"/>
          <w:kern w:val="0"/>
          <w:sz w:val="32"/>
          <w:szCs w:val="32"/>
          <w:highlight w:val="none"/>
        </w:rPr>
        <w:t>以及上级行制定的各类绿色</w:t>
      </w:r>
      <w:r>
        <w:rPr>
          <w:rFonts w:hint="eastAsia" w:ascii="方正仿宋_GBK" w:hAnsi="方正仿宋_GBK" w:eastAsia="方正仿宋_GBK" w:cs="方正仿宋_GBK"/>
          <w:kern w:val="0"/>
          <w:sz w:val="32"/>
          <w:szCs w:val="32"/>
        </w:rPr>
        <w:t>信贷相关管理指引和文件，保障我行绿色金融深入开展。</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方正楷体_GBK" w:hAnsi="方正楷体_GBK" w:eastAsia="方正楷体_GBK" w:cs="方正楷体_GBK"/>
          <w:b/>
          <w:bCs/>
          <w:kern w:val="0"/>
          <w:sz w:val="32"/>
          <w:szCs w:val="32"/>
        </w:rPr>
      </w:pPr>
      <w:r>
        <w:rPr>
          <w:rFonts w:hint="eastAsia" w:ascii="方正楷体_GBK" w:hAnsi="方正楷体_GBK" w:eastAsia="方正楷体_GBK" w:cs="方正楷体_GBK"/>
          <w:b/>
          <w:bCs/>
          <w:kern w:val="0"/>
          <w:sz w:val="32"/>
          <w:szCs w:val="32"/>
        </w:rPr>
        <w:t>金融机构环境政策制度情况表</w:t>
      </w:r>
    </w:p>
    <w:tbl>
      <w:tblPr>
        <w:tblStyle w:val="22"/>
        <w:tblW w:w="90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96"/>
        <w:gridCol w:w="1485"/>
        <w:gridCol w:w="1020"/>
        <w:gridCol w:w="3608"/>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ascii="方正仿宋_GBK" w:hAnsi="方正仿宋_GBK" w:eastAsia="方正仿宋_GBK" w:cs="方正仿宋_GBK"/>
                <w:b/>
                <w:bCs/>
                <w:i w:val="0"/>
                <w:iCs w:val="0"/>
                <w:color w:val="000000"/>
                <w:kern w:val="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文件名称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b/>
                <w:bCs/>
                <w:i w:val="0"/>
                <w:iCs w:val="0"/>
                <w:color w:val="000000"/>
                <w:kern w:val="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发文字号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b/>
                <w:bCs/>
                <w:i w:val="0"/>
                <w:iCs w:val="0"/>
                <w:color w:val="000000"/>
                <w:kern w:val="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文件类型</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b/>
                <w:bCs/>
                <w:i w:val="0"/>
                <w:iCs w:val="0"/>
                <w:color w:val="000000"/>
                <w:kern w:val="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文件主要内容</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b/>
                <w:bCs/>
                <w:i w:val="0"/>
                <w:iCs w:val="0"/>
                <w:color w:val="000000"/>
                <w:kern w:val="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rPr>
              <w:t>《交通银行股份有限公司绿色金融政策》</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rPr>
              <w:t>交银发〔2021〕5号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战略规划</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highlight w:val="yellow"/>
                <w:u w:val="none"/>
                <w:lang w:val="en-US" w:eastAsia="zh-CN"/>
              </w:rPr>
            </w:pPr>
            <w:r>
              <w:rPr>
                <w:rFonts w:hint="eastAsia" w:ascii="方正仿宋_GBK" w:hAnsi="方正仿宋_GBK" w:eastAsia="方正仿宋_GBK" w:cs="方正仿宋_GBK"/>
                <w:i w:val="0"/>
                <w:iCs w:val="0"/>
                <w:color w:val="000000"/>
                <w:kern w:val="0"/>
                <w:sz w:val="24"/>
                <w:szCs w:val="24"/>
                <w:highlight w:val="none"/>
                <w:u w:val="none"/>
              </w:rPr>
              <w:t>对全行高质量发展绿色金融作出了方向性部署</w:t>
            </w:r>
            <w:r>
              <w:rPr>
                <w:rFonts w:hint="eastAsia" w:ascii="方正仿宋_GBK" w:hAnsi="方正仿宋_GBK" w:eastAsia="方正仿宋_GBK" w:cs="方正仿宋_GBK"/>
                <w:i w:val="0"/>
                <w:iCs w:val="0"/>
                <w:color w:val="000000"/>
                <w:kern w:val="0"/>
                <w:sz w:val="24"/>
                <w:szCs w:val="24"/>
                <w:highlight w:val="none"/>
                <w:u w:val="none"/>
                <w:lang w:eastAsia="zh-CN"/>
              </w:rPr>
              <w:t>，</w:t>
            </w:r>
            <w:r>
              <w:rPr>
                <w:rFonts w:hint="eastAsia" w:ascii="方正仿宋_GBK" w:hAnsi="方正仿宋_GBK" w:eastAsia="方正仿宋_GBK" w:cs="方正仿宋_GBK"/>
                <w:i w:val="0"/>
                <w:iCs w:val="0"/>
                <w:color w:val="000000"/>
                <w:kern w:val="0"/>
                <w:sz w:val="24"/>
                <w:szCs w:val="24"/>
                <w:highlight w:val="none"/>
                <w:u w:val="none"/>
                <w:lang w:val="en-US" w:eastAsia="zh-CN"/>
              </w:rPr>
              <w:t>包括总则、管理职责、绿色信贷、其他绿色金融领域等。</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yellow"/>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《交通银行服务碳达峰碳中和行动方案》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交银发〔2022〕19 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highlight w:val="none"/>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战略规划</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highlight w:val="yellow"/>
                <w:u w:val="none"/>
                <w:lang w:val="en-US" w:eastAsia="zh-CN"/>
              </w:rPr>
            </w:pPr>
            <w:r>
              <w:rPr>
                <w:rFonts w:hint="eastAsia" w:ascii="方正仿宋_GBK" w:hAnsi="方正仿宋_GBK" w:eastAsia="方正仿宋_GBK" w:cs="方正仿宋_GBK"/>
                <w:i w:val="0"/>
                <w:iCs w:val="0"/>
                <w:color w:val="000000"/>
                <w:kern w:val="0"/>
                <w:sz w:val="24"/>
                <w:szCs w:val="24"/>
                <w:highlight w:val="none"/>
                <w:u w:val="none"/>
              </w:rPr>
              <w:t>对全行高水平服务国家“双碳”战略目标作出了方向性部署</w:t>
            </w:r>
            <w:r>
              <w:rPr>
                <w:rFonts w:hint="eastAsia" w:ascii="方正仿宋_GBK" w:hAnsi="方正仿宋_GBK" w:eastAsia="方正仿宋_GBK" w:cs="方正仿宋_GBK"/>
                <w:i w:val="0"/>
                <w:iCs w:val="0"/>
                <w:color w:val="000000"/>
                <w:kern w:val="0"/>
                <w:sz w:val="24"/>
                <w:szCs w:val="24"/>
                <w:highlight w:val="none"/>
                <w:u w:val="none"/>
                <w:lang w:eastAsia="zh-CN"/>
              </w:rPr>
              <w:t>，</w:t>
            </w:r>
            <w:r>
              <w:rPr>
                <w:rFonts w:hint="eastAsia" w:ascii="方正仿宋_GBK" w:hAnsi="方正仿宋_GBK" w:eastAsia="方正仿宋_GBK" w:cs="方正仿宋_GBK"/>
                <w:i w:val="0"/>
                <w:iCs w:val="0"/>
                <w:color w:val="000000"/>
                <w:kern w:val="0"/>
                <w:sz w:val="24"/>
                <w:szCs w:val="24"/>
                <w:highlight w:val="none"/>
                <w:u w:val="none"/>
                <w:lang w:val="en-US" w:eastAsia="zh-CN"/>
              </w:rPr>
              <w:t>包括总体要求、主要目标、重点任务、组织实施等。</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yellow"/>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2"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《关于进一步加强绿色信贷工作的通知》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交银办〔2017〕228号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管理办法</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要求做好新常态下交行绿色信贷工作，包括：一、高度重视绿色信贷工作；二、全面掌握绿色信贷工作评价内容；三、抓好薄弱环节，提升绿色信贷工作水平；四、以考核管理为抓手，确保各项要求落到实处。</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2"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《交通银行行业信贷政策及投向指引（2023年1月版）》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交银办发〔2023〕4号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政策指引</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加强行业投向精细化管理，细化授信业务发展策略、结构调整及管理要求，包括 8 个板块策略、61 个行业/领域投向指引、17 个专项政策指引。</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highlight w:val="yellow"/>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3"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《交通银行绿色信贷实施办法》</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rPr>
              <w:t>交银办〔2023〕96号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yellow"/>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管理办法</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highlight w:val="yellow"/>
                <w:u w:val="none"/>
                <w:lang w:val="en-US" w:eastAsia="zh-CN"/>
              </w:rPr>
            </w:pPr>
            <w:r>
              <w:rPr>
                <w:rFonts w:hint="eastAsia" w:ascii="方正仿宋_GBK" w:hAnsi="方正仿宋_GBK" w:eastAsia="方正仿宋_GBK" w:cs="方正仿宋_GBK"/>
                <w:i w:val="0"/>
                <w:iCs w:val="0"/>
                <w:color w:val="000000"/>
                <w:kern w:val="0"/>
                <w:sz w:val="24"/>
                <w:szCs w:val="24"/>
                <w:highlight w:val="none"/>
                <w:u w:val="none"/>
              </w:rPr>
              <w:t>推动全行绿色信贷业务高质量发展，加强对客户环境、社会和治理风险管理</w:t>
            </w:r>
            <w:r>
              <w:rPr>
                <w:rFonts w:hint="eastAsia" w:ascii="方正仿宋_GBK" w:hAnsi="方正仿宋_GBK" w:eastAsia="方正仿宋_GBK" w:cs="方正仿宋_GBK"/>
                <w:i w:val="0"/>
                <w:iCs w:val="0"/>
                <w:color w:val="000000"/>
                <w:kern w:val="0"/>
                <w:sz w:val="24"/>
                <w:szCs w:val="24"/>
                <w:highlight w:val="none"/>
                <w:u w:val="none"/>
                <w:lang w:eastAsia="zh-CN"/>
              </w:rPr>
              <w:t>，</w:t>
            </w:r>
            <w:r>
              <w:rPr>
                <w:rFonts w:hint="eastAsia" w:ascii="方正仿宋_GBK" w:hAnsi="方正仿宋_GBK" w:eastAsia="方正仿宋_GBK" w:cs="方正仿宋_GBK"/>
                <w:i w:val="0"/>
                <w:iCs w:val="0"/>
                <w:color w:val="000000"/>
                <w:kern w:val="0"/>
                <w:sz w:val="24"/>
                <w:szCs w:val="24"/>
                <w:highlight w:val="none"/>
                <w:u w:val="none"/>
                <w:lang w:val="en-US" w:eastAsia="zh-CN"/>
              </w:rPr>
              <w:t>包括总则，组织管理，政策制定与业务发展、创新，分类管理，授信流程管理，内控考核和信息披露，能力建设及资源配置等。</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yellow"/>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7"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《交通银行湖州分行绿色金融业务发展和管理实施细则》（2021年修订版）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交银湖综〔2021〕90号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管理办法</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制定分行绿色金融业务发展目标，完善组织保障，修订了包括:一、绿色信贷客户管理；二、绿色信贷流程管理；三、绿色信贷机制建设；四、绿色金融产品管理；五、绿色营运全面管理；六、绿色专营体系建设；七、绿色信息沟通管理在内的主要任务，并分配了任务牵头部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《交通银行湖州分行绿色专项信贷产品方案（2021版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交银湖综〔2021〕91号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产品方案</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创新推出两款绿色信贷产品，明确授信对象、授信品种、额度、担保方式、期限、利率等方面。</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《交通银行湖州分行&lt;湖州市绿色金融促进条例&gt;宣传贯彻实施方案》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交银湖综〔2022〕8号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管理办法</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成立领导小组，从总体要求、组织落实、保障措施、工作安排等方面贯彻落实宣传《条例》工作。</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《关于成立交通银行湖州分行“碳中和”银行网点建设领导小组的通知》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交银湖综〔2023〕59号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组织架构</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成立领导小组，落实碳中和银行网点建设推进过程中各部门职责分工。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r>
              <w:rPr>
                <w:rStyle w:val="36"/>
                <w:kern w:val="0"/>
                <w:lang w:val="en-US" w:eastAsia="zh-CN" w:bidi="ar"/>
              </w:rPr>
              <w:t>《交通银行湖州分行ESG评价系统应用实施管理办法（暂行）》的通知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交银湖综〔2023〕101号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管理办法</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规范湖州分行 ESG 评价系统应用，加强信息统一管理，确保系统有序正常运行。</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bookmarkStart w:id="39" w:name="_Toc1373"/>
            <w:r>
              <w:rPr>
                <w:rFonts w:hint="eastAsia" w:ascii="方正仿宋_GBK" w:hAnsi="方正仿宋_GBK" w:eastAsia="方正仿宋_GBK" w:cs="方正仿宋_GBK"/>
                <w:i w:val="0"/>
                <w:iCs w:val="0"/>
                <w:color w:val="000000"/>
                <w:kern w:val="0"/>
                <w:sz w:val="24"/>
                <w:szCs w:val="24"/>
                <w:u w:val="none"/>
                <w:lang w:val="en-US" w:eastAsia="zh-CN" w:bidi="ar"/>
              </w:rPr>
              <w:t>《交通银行湖州分行ESG智造贷产品方案》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交银湖综〔2024〕15 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产品方案</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将企业 ESG 特色评价系统与湖州市八大产业链发展方向相结合，制定特色产品 ESG 智造贷，加强服务实体经济、推动产业转型升级，包括总则、业务办理条件、授信要素核定、尽职调查及风险评估、授信申报及业务流程、贷后管理、尽职免责等。</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当年新建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《湖州分行服务“碳中和”银行网点建设行动方案》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交银湖综〔2024〕16 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行动方案</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围绕低碳绿色发展主线，完善绿色金融机制建设，高质量开展“碳中和”银行网点的建设，包括总体要求、主要目标、重点任务、组织实施等。</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当年新建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《交通银行湖州分行绿色金融业务组织架构改革实施方案》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交银湖综〔2024〕43 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组织架构</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深入践行国家绿色发展理念和可持续发展战略，成立湖州分行绿色金融管理部，明确绿色金融管理部主要职责、组织架构及名称等。</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当年新建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《关于成立湖州分行绿色金融营销专班的通知》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交银湖综〔2024〕60 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组织架构</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推动全行绿色金融公司业务高质量发展，成立交通银行湖州分行绿色金融营销专班，明确组织架构、专班主要职责、工作要求等。</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当年新建</w:t>
            </w:r>
          </w:p>
        </w:tc>
      </w:tr>
    </w:tbl>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rPr>
          <w:rFonts w:hint="eastAsia" w:ascii="方正黑体_GBK" w:hAnsi="方正黑体_GBK" w:eastAsia="方正黑体_GBK" w:cs="方正黑体_GBK"/>
          <w:b w:val="0"/>
          <w:bCs w:val="0"/>
          <w:vanish w:val="0"/>
          <w:kern w:val="0"/>
          <w:sz w:val="32"/>
          <w:szCs w:val="32"/>
        </w:rPr>
      </w:pPr>
    </w:p>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eastAsia" w:ascii="方正黑体_GBK" w:hAnsi="方正黑体_GBK" w:eastAsia="方正黑体_GBK" w:cs="方正黑体_GBK"/>
          <w:b w:val="0"/>
          <w:bCs/>
          <w:color w:val="0000FF"/>
          <w:sz w:val="32"/>
          <w:szCs w:val="32"/>
          <w:lang w:val="en-US" w:eastAsia="zh-CN"/>
        </w:rPr>
      </w:pPr>
      <w:r>
        <w:rPr>
          <w:rFonts w:hint="eastAsia" w:ascii="方正黑体_GBK" w:hAnsi="方正黑体_GBK" w:eastAsia="方正黑体_GBK" w:cs="方正黑体_GBK"/>
          <w:b w:val="0"/>
          <w:bCs w:val="0"/>
          <w:i w:val="0"/>
          <w:kern w:val="0"/>
          <w:sz w:val="32"/>
          <w:szCs w:val="32"/>
        </w:rPr>
        <w:t>金融机构环境相关产品与服务创新</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湖州</w:t>
      </w:r>
      <w:r>
        <w:rPr>
          <w:rFonts w:hint="eastAsia" w:ascii="方正仿宋_GBK" w:hAnsi="方正仿宋_GBK" w:eastAsia="方正仿宋_GBK" w:cs="方正仿宋_GBK"/>
          <w:kern w:val="0"/>
          <w:sz w:val="32"/>
          <w:szCs w:val="32"/>
          <w:lang w:val="en-US" w:eastAsia="zh-CN"/>
        </w:rPr>
        <w:t>分行在</w:t>
      </w:r>
      <w:r>
        <w:rPr>
          <w:rFonts w:hint="eastAsia" w:ascii="方正仿宋_GBK" w:hAnsi="方正仿宋_GBK" w:eastAsia="方正仿宋_GBK" w:cs="方正仿宋_GBK"/>
          <w:kern w:val="0"/>
          <w:sz w:val="32"/>
          <w:szCs w:val="32"/>
        </w:rPr>
        <w:t>建成交行系统内首个地方特色版ESG</w:t>
      </w:r>
      <w:r>
        <w:rPr>
          <w:rFonts w:hint="eastAsia" w:ascii="方正仿宋_GBK" w:hAnsi="方正仿宋_GBK" w:eastAsia="方正仿宋_GBK" w:cs="方正仿宋_GBK"/>
          <w:kern w:val="0"/>
          <w:sz w:val="32"/>
          <w:szCs w:val="32"/>
          <w:lang w:val="en-US" w:eastAsia="zh-CN"/>
        </w:rPr>
        <w:t>评价体系的基础上，贯穿对企业贷前、贷中、贷后信用风险防控的全流程管理，并基于ESG评价结果，创新开发“ESG智造贷”“ESG可持续发展贷”“碳强度+ESG”双挂钩转型贷款等产品。2024年3月印发了《交通银行湖州分行ESG 智造贷产品方案》（交银湖综〔2024〕15 号），该产品将绿色金融、科技金融与传统信贷业务相结合，扩充了存量科技贷的准入客户范围，通过引入ESG数据考量，增加对借款人非财务数据的补充，从而提升为达到减碳目标积极调整设备、产品的优质客户的授信支持。2024年累计审批15户，提供授信敞口36.38亿元。</w:t>
      </w:r>
    </w:p>
    <w:bookmarkEnd w:id="39"/>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金融机构环境风险管理流程</w:t>
      </w:r>
    </w:p>
    <w:p>
      <w:pPr>
        <w:pStyle w:val="33"/>
        <w:numPr>
          <w:ilvl w:val="1"/>
          <w:numId w:val="0"/>
        </w:numPr>
        <w:ind w:left="142" w:leftChars="0" w:firstLine="643" w:firstLineChars="200"/>
        <w:rPr>
          <w:rFonts w:hint="eastAsia" w:ascii="方正楷体_GBK" w:hAnsi="方正楷体_GBK" w:eastAsia="方正楷体_GBK" w:cs="方正楷体_GBK"/>
          <w:b/>
          <w:bCs/>
          <w:kern w:val="0"/>
          <w:sz w:val="32"/>
          <w:szCs w:val="32"/>
          <w:lang w:val="zh-TW" w:eastAsia="zh-CN" w:bidi="ar-SA"/>
        </w:rPr>
      </w:pPr>
      <w:bookmarkStart w:id="40" w:name="_Toc30854"/>
      <w:r>
        <w:rPr>
          <w:rFonts w:hint="eastAsia" w:ascii="方正楷体_GBK" w:hAnsi="方正楷体_GBK" w:eastAsia="方正楷体_GBK" w:cs="方正楷体_GBK"/>
          <w:b/>
          <w:bCs/>
          <w:kern w:val="0"/>
          <w:sz w:val="32"/>
          <w:szCs w:val="32"/>
          <w:lang w:val="en-US" w:eastAsia="zh-CN" w:bidi="ar-SA"/>
        </w:rPr>
        <w:t>5.1</w:t>
      </w:r>
      <w:r>
        <w:rPr>
          <w:rFonts w:hint="eastAsia" w:ascii="方正楷体_GBK" w:hAnsi="方正楷体_GBK" w:eastAsia="方正楷体_GBK" w:cs="方正楷体_GBK"/>
          <w:b/>
          <w:bCs/>
          <w:kern w:val="0"/>
          <w:sz w:val="32"/>
          <w:szCs w:val="32"/>
          <w:lang w:val="zh-TW" w:eastAsia="zh-CN" w:bidi="ar-SA"/>
        </w:rPr>
        <w:t>环境风险影响</w:t>
      </w:r>
      <w:bookmarkEnd w:id="40"/>
    </w:p>
    <w:p>
      <w:pPr>
        <w:pStyle w:val="33"/>
        <w:keepNext w:val="0"/>
        <w:keepLines w:val="0"/>
        <w:pageBreakBefore w:val="0"/>
        <w:widowControl/>
        <w:numPr>
          <w:ilvl w:val="1"/>
          <w:numId w:val="0"/>
        </w:numPr>
        <w:kinsoku/>
        <w:wordWrap/>
        <w:overflowPunct/>
        <w:topLinePunct w:val="0"/>
        <w:autoSpaceDE/>
        <w:autoSpaceDN/>
        <w:bidi w:val="0"/>
        <w:adjustRightInd/>
        <w:snapToGrid/>
        <w:spacing w:line="560" w:lineRule="exact"/>
        <w:ind w:left="142" w:leftChars="0" w:firstLine="640" w:firstLineChars="200"/>
        <w:textAlignment w:val="auto"/>
        <w:rPr>
          <w:rFonts w:hint="eastAsia" w:ascii="方正仿宋_GBK" w:hAnsi="方正仿宋_GBK" w:eastAsia="方正仿宋_GBK" w:cs="方正仿宋_GBK"/>
          <w:kern w:val="0"/>
          <w:sz w:val="32"/>
          <w:szCs w:val="32"/>
          <w:lang w:val="zh-TW" w:eastAsia="zh-CN" w:bidi="ar-SA"/>
        </w:rPr>
      </w:pPr>
      <w:r>
        <w:rPr>
          <w:rFonts w:hint="eastAsia" w:ascii="方正仿宋_GBK" w:hAnsi="方正仿宋_GBK" w:eastAsia="方正仿宋_GBK" w:cs="方正仿宋_GBK"/>
          <w:kern w:val="0"/>
          <w:sz w:val="32"/>
          <w:szCs w:val="32"/>
          <w:lang w:val="en-US" w:eastAsia="zh-CN" w:bidi="ar-SA"/>
        </w:rPr>
        <w:t>针对环境风险可能对金融机构造成的影响，我行对存在重大环境和社会风险的客户实行名单制管理，制定并落实重大风险应对预案，建立充分、有效的利益相关方沟通机制，并要求其寻求第三方分担环境和社会风险。基于环境因素产生的相关机遇，</w:t>
      </w:r>
      <w:r>
        <w:rPr>
          <w:rFonts w:hint="eastAsia" w:ascii="方正仿宋_GBK" w:hAnsi="方正仿宋_GBK" w:eastAsia="方正仿宋_GBK" w:cs="方正仿宋_GBK"/>
          <w:kern w:val="0"/>
          <w:sz w:val="32"/>
          <w:szCs w:val="32"/>
          <w:lang w:val="zh-TW" w:eastAsia="zh-TW" w:bidi="ar-SA"/>
        </w:rPr>
        <w:t>鼓励大力发展绿色金融，优先支持技术经济标准达到国内国际先进水平的客户及项目</w:t>
      </w:r>
      <w:r>
        <w:rPr>
          <w:rFonts w:hint="eastAsia" w:ascii="方正仿宋_GBK" w:hAnsi="方正仿宋_GBK" w:eastAsia="方正仿宋_GBK" w:cs="方正仿宋_GBK"/>
          <w:kern w:val="0"/>
          <w:sz w:val="32"/>
          <w:szCs w:val="32"/>
          <w:lang w:val="zh-TW" w:eastAsia="zh-CN" w:bidi="ar-SA"/>
        </w:rPr>
        <w:t>，</w:t>
      </w:r>
      <w:r>
        <w:rPr>
          <w:rFonts w:hint="eastAsia" w:ascii="方正仿宋_GBK" w:hAnsi="方正仿宋_GBK" w:eastAsia="方正仿宋_GBK" w:cs="方正仿宋_GBK"/>
          <w:kern w:val="0"/>
          <w:sz w:val="32"/>
          <w:szCs w:val="32"/>
          <w:lang w:val="zh-TW" w:eastAsia="zh-TW" w:bidi="ar-SA"/>
        </w:rPr>
        <w:t>在同等条件下优先审批用于支持绿色、低碳、循环经济的融资申请</w:t>
      </w:r>
      <w:r>
        <w:rPr>
          <w:rFonts w:hint="eastAsia" w:ascii="方正仿宋_GBK" w:hAnsi="方正仿宋_GBK" w:eastAsia="方正仿宋_GBK" w:cs="方正仿宋_GBK"/>
          <w:kern w:val="0"/>
          <w:sz w:val="32"/>
          <w:szCs w:val="32"/>
          <w:lang w:val="zh-TW" w:eastAsia="zh-CN" w:bidi="ar-SA"/>
        </w:rPr>
        <w:t>。</w:t>
      </w:r>
      <w:r>
        <w:rPr>
          <w:rFonts w:hint="eastAsia" w:ascii="方正仿宋_GBK" w:hAnsi="方正仿宋_GBK" w:eastAsia="方正仿宋_GBK" w:cs="方正仿宋_GBK"/>
          <w:kern w:val="0"/>
          <w:sz w:val="32"/>
          <w:szCs w:val="32"/>
          <w:lang w:val="zh-TW" w:eastAsia="zh-TW" w:bidi="ar-SA"/>
        </w:rPr>
        <w:t>积极发展与绿色、低碳、循环经济有关的金融产品和服务</w:t>
      </w:r>
      <w:r>
        <w:rPr>
          <w:rFonts w:hint="eastAsia" w:ascii="方正仿宋_GBK" w:hAnsi="方正仿宋_GBK" w:eastAsia="方正仿宋_GBK" w:cs="方正仿宋_GBK"/>
          <w:kern w:val="0"/>
          <w:sz w:val="32"/>
          <w:szCs w:val="32"/>
          <w:lang w:val="zh-TW" w:eastAsia="zh-CN" w:bidi="ar-SA"/>
        </w:rPr>
        <w:t>；</w:t>
      </w:r>
      <w:r>
        <w:rPr>
          <w:rFonts w:hint="eastAsia" w:ascii="方正仿宋_GBK" w:hAnsi="方正仿宋_GBK" w:eastAsia="方正仿宋_GBK" w:cs="方正仿宋_GBK"/>
          <w:kern w:val="0"/>
          <w:sz w:val="32"/>
          <w:szCs w:val="32"/>
          <w:lang w:val="zh-TW" w:eastAsia="zh-TW" w:bidi="ar-SA"/>
        </w:rPr>
        <w:t>发展电子银行业务等新型银行服务业。</w:t>
      </w:r>
    </w:p>
    <w:p>
      <w:pPr>
        <w:pStyle w:val="33"/>
        <w:numPr>
          <w:ilvl w:val="1"/>
          <w:numId w:val="0"/>
        </w:numPr>
        <w:ind w:left="142" w:leftChars="0" w:firstLine="643" w:firstLineChars="200"/>
        <w:rPr>
          <w:rFonts w:hint="eastAsia" w:ascii="方正楷体_GBK" w:hAnsi="方正楷体_GBK" w:eastAsia="方正楷体_GBK" w:cs="方正楷体_GBK"/>
          <w:b/>
          <w:bCs/>
          <w:kern w:val="0"/>
          <w:sz w:val="32"/>
          <w:szCs w:val="32"/>
          <w:lang w:val="zh-TW" w:eastAsia="zh-CN" w:bidi="ar-SA"/>
        </w:rPr>
      </w:pPr>
      <w:bookmarkStart w:id="41" w:name="_Toc27658"/>
      <w:r>
        <w:rPr>
          <w:rFonts w:hint="eastAsia" w:ascii="方正楷体_GBK" w:hAnsi="方正楷体_GBK" w:eastAsia="方正楷体_GBK" w:cs="方正楷体_GBK"/>
          <w:b/>
          <w:bCs/>
          <w:kern w:val="0"/>
          <w:sz w:val="32"/>
          <w:szCs w:val="32"/>
          <w:lang w:val="en-US" w:eastAsia="zh-CN" w:bidi="ar-SA"/>
        </w:rPr>
        <w:t>5.2</w:t>
      </w:r>
      <w:r>
        <w:rPr>
          <w:rFonts w:hint="eastAsia" w:ascii="方正楷体_GBK" w:hAnsi="方正楷体_GBK" w:eastAsia="方正楷体_GBK" w:cs="方正楷体_GBK"/>
          <w:b/>
          <w:bCs/>
          <w:kern w:val="0"/>
          <w:sz w:val="32"/>
          <w:szCs w:val="32"/>
          <w:lang w:val="zh-TW" w:eastAsia="zh-CN" w:bidi="ar-SA"/>
        </w:rPr>
        <w:t>风险管理及流程</w:t>
      </w:r>
      <w:bookmarkEnd w:id="41"/>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bookmarkStart w:id="42" w:name="_Toc226"/>
      <w:bookmarkStart w:id="43" w:name="_Toc32457"/>
      <w:bookmarkStart w:id="44" w:name="_Toc8345"/>
      <w:r>
        <w:rPr>
          <w:rFonts w:hint="eastAsia" w:ascii="方正仿宋_GBK" w:hAnsi="方正仿宋_GBK" w:eastAsia="方正仿宋_GBK" w:cs="方正仿宋_GBK"/>
          <w:kern w:val="0"/>
          <w:sz w:val="32"/>
          <w:szCs w:val="32"/>
          <w:lang w:val="en-US" w:eastAsia="zh-CN"/>
        </w:rPr>
        <w:t>分行发布了《交通银行湖州分行ESG 评价系统应用实施管理办法（暂行）》，全面落实湖州分行特色ESG系统在授信全流程中的运用。对新客户，实行 ESG 风险准入“一票否决制”，结合湖州分行 ESG 评价系统中的“风险指标&amp;风险提示”信息，对在 ESG 方面存在严重违法违规和重大风险的客户，不予授信准入。对存量客户，涉及重大 ESG 风险的，在客户完成整改之前原则上不得增加授信敞口；客户整改不力的，原则上应压降敞口余额。</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一是贷前调查时，客户经理需将ESG系统评估表现作为尽职调查的重要内容，开展信息复核及风险分析，并形成初步意见，反映在授信报告中。</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二是审查人员需将ESG系统评价结果作为合规性审查的必要环节和评判客户潜在风险的重要内容，针对不同行业的客户及项目特点，结合ESG 风险合规文件和经营单位尽职调查情况，加强复核和审查。</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三是对ESG风险分类为A、B类的客户，在签署放款合同时，同时签署加强ESG风险管理的《绿色信贷补充协议》。</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四是贷后日常监控中关注客户ESG 评价结果和预警信息的变化，如有风险预警需在《随访记录》等贷（投）后管理工具中反馈。</w:t>
      </w:r>
    </w:p>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eastAsia" w:ascii="方正黑体_GBK" w:hAnsi="方正黑体_GBK" w:eastAsia="方正黑体_GBK" w:cs="方正黑体_GBK"/>
          <w:b w:val="0"/>
          <w:bCs/>
          <w:sz w:val="32"/>
          <w:szCs w:val="32"/>
          <w:highlight w:val="none"/>
          <w:lang w:val="zh-TW" w:eastAsia="zh-CN"/>
        </w:rPr>
      </w:pPr>
      <w:bookmarkStart w:id="45" w:name="_Toc30728"/>
      <w:r>
        <w:rPr>
          <w:rFonts w:hint="eastAsia" w:ascii="方正黑体_GBK" w:hAnsi="方正黑体_GBK" w:eastAsia="方正黑体_GBK" w:cs="方正黑体_GBK"/>
          <w:b w:val="0"/>
          <w:bCs/>
          <w:sz w:val="32"/>
          <w:szCs w:val="32"/>
          <w:highlight w:val="none"/>
          <w:lang w:val="en-US" w:eastAsia="zh-CN"/>
        </w:rPr>
        <w:t>环境因素对金融机构的影响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气候风险包括两类：气候变化引发的物理风险以及受此影响而产生的转型风险。物理风险是指因未能有效解决气候变化问题，由自然灾害引起经济损失并造成金融风险。转型风险是指公共或私人部门为控制气候变化采取的有效政策及行动所带来的金融体系不适应性风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楷体_GBK" w:hAnsi="方正楷体_GBK" w:eastAsia="方正楷体_GBK" w:cs="方正楷体_GBK"/>
          <w:b/>
          <w:bCs/>
          <w:kern w:val="0"/>
          <w:sz w:val="32"/>
          <w:szCs w:val="32"/>
          <w:lang w:val="en-US" w:eastAsia="zh-CN" w:bidi="ar-SA"/>
        </w:rPr>
        <w:t>6.1金融机构环境风险和机遇</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lang w:val="en-US" w:eastAsia="zh-CN"/>
        </w:rPr>
        <w:t>6.1.1气候和环境相关风险的识别和评估</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3111"/>
        <w:gridCol w:w="1305"/>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风险类别</w:t>
            </w:r>
          </w:p>
        </w:tc>
        <w:tc>
          <w:tcPr>
            <w:tcW w:w="3111"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具体风险点</w:t>
            </w:r>
          </w:p>
        </w:tc>
        <w:tc>
          <w:tcPr>
            <w:tcW w:w="1305"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潜在财务影响概述</w:t>
            </w:r>
          </w:p>
        </w:tc>
        <w:tc>
          <w:tcPr>
            <w:tcW w:w="2773"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影响范围与期限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Merge w:val="restart"/>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物理风险</w:t>
            </w:r>
          </w:p>
        </w:tc>
        <w:tc>
          <w:tcPr>
            <w:tcW w:w="3111" w:type="dxa"/>
            <w:vMerge w:val="restart"/>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极端气候事件（如致命热浪、洪涝、暴风雪、干旱等）</w:t>
            </w:r>
          </w:p>
        </w:tc>
        <w:tc>
          <w:tcPr>
            <w:tcW w:w="1305" w:type="dxa"/>
            <w:vMerge w:val="restart"/>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生产供应中断，运 营成本攀升</w:t>
            </w:r>
          </w:p>
        </w:tc>
        <w:tc>
          <w:tcPr>
            <w:tcW w:w="2773"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短期：生产成本激增，高风险资产价值波动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Merge w:val="continue"/>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p>
        </w:tc>
        <w:tc>
          <w:tcPr>
            <w:tcW w:w="3111" w:type="dxa"/>
            <w:vMerge w:val="continue"/>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p>
        </w:tc>
        <w:tc>
          <w:tcPr>
            <w:tcW w:w="1305" w:type="dxa"/>
            <w:vMerge w:val="continue"/>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p>
        </w:tc>
        <w:tc>
          <w:tcPr>
            <w:tcW w:w="2773"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中、长期：高风险资产比例上升，加剧财务压力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Merge w:val="continue"/>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p>
        </w:tc>
        <w:tc>
          <w:tcPr>
            <w:tcW w:w="3111" w:type="dxa"/>
            <w:vMerge w:val="restart"/>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生态系统污染（如土壤、空气、水、海洋污染及环境事故等）</w:t>
            </w:r>
          </w:p>
        </w:tc>
        <w:tc>
          <w:tcPr>
            <w:tcW w:w="1305" w:type="dxa"/>
            <w:vMerge w:val="restart"/>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生产成本与高风险资产保费双重增加</w:t>
            </w:r>
          </w:p>
        </w:tc>
        <w:tc>
          <w:tcPr>
            <w:tcW w:w="2773"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中、长期：设备受损，资产减值风险加剧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Merge w:val="continue"/>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p>
        </w:tc>
        <w:tc>
          <w:tcPr>
            <w:tcW w:w="3111" w:type="dxa"/>
            <w:vMerge w:val="continue"/>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p>
        </w:tc>
        <w:tc>
          <w:tcPr>
            <w:tcW w:w="1305" w:type="dxa"/>
            <w:vMerge w:val="continue"/>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p>
        </w:tc>
        <w:tc>
          <w:tcPr>
            <w:tcW w:w="2773"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长期：环境修复成本高昂，影响企业可持续发展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Merge w:val="continue"/>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p>
        </w:tc>
        <w:tc>
          <w:tcPr>
            <w:tcW w:w="3111" w:type="dxa"/>
            <w:vMerge w:val="restart"/>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长期性气候变化导致的地理变化（如海平面上升、季风带偏移、冰川消融等）</w:t>
            </w:r>
          </w:p>
        </w:tc>
        <w:tc>
          <w:tcPr>
            <w:tcW w:w="1305" w:type="dxa"/>
            <w:vMerge w:val="restart"/>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生产成本与高风险资产保费持续上涨</w:t>
            </w:r>
          </w:p>
        </w:tc>
        <w:tc>
          <w:tcPr>
            <w:tcW w:w="2773"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中、长期：健康问题频发，劳动力效率下降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Merge w:val="continue"/>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p>
        </w:tc>
        <w:tc>
          <w:tcPr>
            <w:tcW w:w="3111" w:type="dxa"/>
            <w:vMerge w:val="continue"/>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p>
        </w:tc>
        <w:tc>
          <w:tcPr>
            <w:tcW w:w="1305" w:type="dxa"/>
            <w:vMerge w:val="continue"/>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p>
        </w:tc>
        <w:tc>
          <w:tcPr>
            <w:tcW w:w="2773"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长期：疾 病 传 播 风 险 增 加，企业运营成本进一步上升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33" w:type="dxa"/>
            <w:vMerge w:val="continue"/>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p>
        </w:tc>
        <w:tc>
          <w:tcPr>
            <w:tcW w:w="3111"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自然资源的破坏和短缺（如耕地沙漠化、淡水资源短缺等）</w:t>
            </w:r>
          </w:p>
        </w:tc>
        <w:tc>
          <w:tcPr>
            <w:tcW w:w="1305"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收入锐减，高风险资产保费攀升</w:t>
            </w:r>
          </w:p>
        </w:tc>
        <w:tc>
          <w:tcPr>
            <w:tcW w:w="2773"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短、中、长期：劳动力受负面影 响，企业整体运营效率下降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Merge w:val="restart"/>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转型风险</w:t>
            </w:r>
          </w:p>
        </w:tc>
        <w:tc>
          <w:tcPr>
            <w:tcW w:w="3111"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政策和法律方面： 对部分高碳行业严控规模，实施碳交易机制鼓励削减温室气体排放，限制高碳排放或低效能源的使用，加大环境执法力度，征收和提高环保税，倡导可持续土地使用措施等</w:t>
            </w:r>
          </w:p>
        </w:tc>
        <w:tc>
          <w:tcPr>
            <w:tcW w:w="1305"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生产受阻，环境修复成本增加</w:t>
            </w:r>
          </w:p>
        </w:tc>
        <w:tc>
          <w:tcPr>
            <w:tcW w:w="2773"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短、中、长期：资产提前报废，资产减值增加，运营成本上升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Merge w:val="continue"/>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p>
        </w:tc>
        <w:tc>
          <w:tcPr>
            <w:tcW w:w="3111"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科技方面： 在新能源、生产效率、废碳储存等方面 实现技术突破，原有的高碳排放技术和生产体系会被新的低碳产业淘汰，出现“创造性破坏”的现象</w:t>
            </w:r>
          </w:p>
        </w:tc>
        <w:tc>
          <w:tcPr>
            <w:tcW w:w="1305"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生产受阻，技术研发费用支出增加</w:t>
            </w:r>
          </w:p>
        </w:tc>
        <w:tc>
          <w:tcPr>
            <w:tcW w:w="2773"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中、长期：现有资产提前报废，减少对产品和服务的需求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Merge w:val="continue"/>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p>
        </w:tc>
        <w:tc>
          <w:tcPr>
            <w:tcW w:w="3111"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市场方面： 在气候变化议题十分突出的大环境下， 市场供求关系会发生显著改变，消费者们会更加倾向于选择低碳环保的产品与服务，股票和债券的投资者们也将更加倾向于选择投资绿色金融资产</w:t>
            </w:r>
          </w:p>
        </w:tc>
        <w:tc>
          <w:tcPr>
            <w:tcW w:w="1305"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收入下滑，市场份额减少</w:t>
            </w:r>
          </w:p>
        </w:tc>
        <w:tc>
          <w:tcPr>
            <w:tcW w:w="2773"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短、中、长期：融资难度加大，市场不确定性增加；原材料价上涨，资产重新估值受影响</w:t>
            </w:r>
          </w:p>
        </w:tc>
      </w:tr>
    </w:tbl>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lang w:val="en-US" w:eastAsia="zh-CN"/>
        </w:rPr>
        <w:t>6.1.2气候风险对本行造成影响的传导路径</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2792"/>
        <w:gridCol w:w="2848"/>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风险类别</w:t>
            </w:r>
          </w:p>
        </w:tc>
        <w:tc>
          <w:tcPr>
            <w:tcW w:w="2792"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风险表现</w:t>
            </w:r>
          </w:p>
        </w:tc>
        <w:tc>
          <w:tcPr>
            <w:tcW w:w="2848"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气候变化影响</w:t>
            </w:r>
          </w:p>
        </w:tc>
        <w:tc>
          <w:tcPr>
            <w:tcW w:w="1414"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影响范围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信用风险</w:t>
            </w:r>
          </w:p>
        </w:tc>
        <w:tc>
          <w:tcPr>
            <w:tcW w:w="2792"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因借款人或交易对手未能根据约定条件履行义务使银行蒙受损失</w:t>
            </w:r>
          </w:p>
        </w:tc>
        <w:tc>
          <w:tcPr>
            <w:tcW w:w="2848"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自然灾害或气候环境变迁导致借款人盈利能力下降或资产贬值，抵质押品价值下滑。借款人未能 适应法律、法规、政策、科技等变化，持续经营能力受到影响</w:t>
            </w:r>
          </w:p>
        </w:tc>
        <w:tc>
          <w:tcPr>
            <w:tcW w:w="1414"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市场风险</w:t>
            </w:r>
          </w:p>
        </w:tc>
        <w:tc>
          <w:tcPr>
            <w:tcW w:w="2792"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因市场价格(利率、汇率、股 票价格和商品价格)的不利变动使银行表内和表外业务发生损失</w:t>
            </w:r>
          </w:p>
        </w:tc>
        <w:tc>
          <w:tcPr>
            <w:tcW w:w="2848"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气候灾害或市场短期内迅速转型引发资产价格估值异常变动</w:t>
            </w:r>
          </w:p>
        </w:tc>
        <w:tc>
          <w:tcPr>
            <w:tcW w:w="1414"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流动性风险</w:t>
            </w:r>
          </w:p>
        </w:tc>
        <w:tc>
          <w:tcPr>
            <w:tcW w:w="2792"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因无法以合理成本及时获得充足资金，使银行难以 偿付到期债务、履行其他支付义务和满足正常业务 开展的其他资金需求</w:t>
            </w:r>
          </w:p>
        </w:tc>
        <w:tc>
          <w:tcPr>
            <w:tcW w:w="2848"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物理风险和转型风险冲击拥有较多碳密集型资产的金融机构资产负债表。在气候风险管理方面应对不利的银行发行的证券可能遇冷，引发筹资困难</w:t>
            </w:r>
          </w:p>
        </w:tc>
        <w:tc>
          <w:tcPr>
            <w:tcW w:w="1414"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操作风险</w:t>
            </w:r>
          </w:p>
        </w:tc>
        <w:tc>
          <w:tcPr>
            <w:tcW w:w="2792"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因不完善或有问题的内部程序、员工、信息科技 系统以及外部事件使银行遭受损失，包括法律风 险，不包括策略风险和声誉风险</w:t>
            </w:r>
          </w:p>
        </w:tc>
        <w:tc>
          <w:tcPr>
            <w:tcW w:w="2848"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自然灾害或气候环境变迁可能会直接导致金融机构的办公楼、网点、数据中心等受到损害，也可能会直接影响到行业重要金融服务基础设施的正常运转，进而使商业银行业务发生中断</w:t>
            </w:r>
          </w:p>
        </w:tc>
        <w:tc>
          <w:tcPr>
            <w:tcW w:w="1414"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声誉风险</w:t>
            </w:r>
          </w:p>
        </w:tc>
        <w:tc>
          <w:tcPr>
            <w:tcW w:w="2792"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因机构行为、员工行为或外部事件等，导致利益相 关方、社会公众、媒体等对银行形成负面评价从而损 害银行品牌价值，不利于正常经营，甚至影响到市场稳定和社会稳定</w:t>
            </w:r>
          </w:p>
        </w:tc>
        <w:tc>
          <w:tcPr>
            <w:tcW w:w="2848"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金融机构实施了直接或间接加剧气候变化的行为，或未能采取有效措施应对及帮助客户应对气候变化，可能会面临外部负面评价，使声誉受损，进而影响到业务发展与市值管理</w:t>
            </w:r>
          </w:p>
        </w:tc>
        <w:tc>
          <w:tcPr>
            <w:tcW w:w="1414" w:type="dxa"/>
          </w:tcPr>
          <w:p>
            <w:pPr>
              <w:pStyle w:val="2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短、中、长期</w:t>
            </w:r>
          </w:p>
        </w:tc>
      </w:tr>
    </w:tbl>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lang w:val="en-US" w:eastAsia="zh-CN"/>
        </w:rPr>
        <w:t>6.1.3为应对环境影响所采取的措施及效果</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将环境风险的识别、评估和管理流程贯穿本行风险管理全流程。制定完善环境与社会风险日常监控管理机制与重大风险应对预案，建立长期监测、控制措施，准确分类、动态调整；定期进行后评价，必要时对客户授信策略与贷后管理策略提出调整意见；对出现重大环境与社会风险的客户，督促业务机构做好突发事件管理、资产质量管控等相关工作，采取稳妥措施，尽快压缩退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eastAsia" w:ascii="方正楷体_GBK" w:hAnsi="方正楷体_GBK" w:eastAsia="方正楷体_GBK" w:cs="方正楷体_GBK"/>
          <w:b/>
          <w:bCs/>
          <w:kern w:val="0"/>
          <w:sz w:val="32"/>
          <w:szCs w:val="32"/>
          <w:lang w:val="en-US" w:eastAsia="zh-CN" w:bidi="ar-SA"/>
        </w:rPr>
        <w:t>6.2金融机构环境风险量化分析</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lang w:val="en-US" w:eastAsia="zh-CN"/>
        </w:rPr>
        <w:t>6.2.1气候风险压力测试</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总行自2021年起对电力、钢铁、建材、有色金属冶炼、民航、石化、化工和造纸等高碳行业开展了气候风险敏感性压力测试，分析社会经济绿色低碳转型对本行资产质量的潜在影响；结果显示本行八个高碳行业客户的信用风险在相关压力情景下有所上升，但整体风险可控，对本行资本充足水平影响有限。</w:t>
      </w:r>
      <w:r>
        <w:rPr>
          <w:rFonts w:hint="default" w:ascii="方正仿宋_GBK" w:hAnsi="方正仿宋_GBK" w:eastAsia="方正仿宋_GBK" w:cs="方正仿宋_GBK"/>
          <w:kern w:val="0"/>
          <w:sz w:val="32"/>
          <w:szCs w:val="32"/>
          <w:lang w:val="en-US" w:eastAsia="zh-CN"/>
        </w:rPr>
        <w:t>就欧盟碳边境调节机制的影响展开量化研究，针对钢铁和铝行业中的重点客户开展专项压力测试，分析欧盟碳边境调节机制正式实施后对本行信贷资产质量的潜在影响</w:t>
      </w:r>
      <w:r>
        <w:rPr>
          <w:rFonts w:hint="eastAsia" w:ascii="方正仿宋_GBK" w:hAnsi="方正仿宋_GBK" w:eastAsia="方正仿宋_GBK" w:cs="方正仿宋_GBK"/>
          <w:kern w:val="0"/>
          <w:sz w:val="32"/>
          <w:szCs w:val="32"/>
          <w:lang w:val="en-US" w:eastAsia="zh-CN"/>
        </w:rPr>
        <w:t>；结果显示相关行业客户的信用风险在相关压力情景下有所上升，但整体风险可控，对本行影响有限。对未来或受到国际航空碳抵消和减排计划（CORSIA）机制影响的航空业进行压力测试，结合航空业转型相关能源政策与碳价变化情况分析我国航空业在压力情景下的损失系数，进而测算对交行航空业客户资产质量的冲击，结果显示相关转型风险对本行航空业资产质量影响有限。</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lang w:val="en-US" w:eastAsia="zh-CN"/>
        </w:rPr>
        <w:t>6.2.2气候风险情景分析</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总行梳理了国内外先进的气候风险情景指南，开展转型风险与物理风险的情景分析工作。总行基于能源政策模拟情景模型，针对本行企业客户在同《巴黎协定》、我国双碳目标相一致的降碳路径中未来可能的营业收入、能 源成本、碳排放成本、固定资产投资、资产减值等指标的变化曲线进行模拟，进而评估相关情景下交行稳健运营的可持续性。结果显示相关转型对本行风险可控。</w:t>
      </w:r>
    </w:p>
    <w:bookmarkEnd w:id="42"/>
    <w:bookmarkEnd w:id="43"/>
    <w:bookmarkEnd w:id="45"/>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eastAsia" w:ascii="方正黑体_GBK" w:hAnsi="方正黑体_GBK" w:eastAsia="方正黑体_GBK" w:cs="方正黑体_GBK"/>
          <w:b w:val="0"/>
          <w:bCs/>
          <w:sz w:val="32"/>
          <w:szCs w:val="32"/>
          <w:lang w:val="zh-TW" w:eastAsia="zh-CN"/>
        </w:rPr>
      </w:pPr>
      <w:r>
        <w:rPr>
          <w:rFonts w:hint="eastAsia" w:ascii="方正黑体_GBK" w:hAnsi="方正黑体_GBK" w:eastAsia="方正黑体_GBK" w:cs="方正黑体_GBK"/>
          <w:b w:val="0"/>
          <w:bCs/>
          <w:sz w:val="32"/>
          <w:szCs w:val="32"/>
          <w:lang w:val="en-US" w:eastAsia="zh-CN"/>
        </w:rPr>
        <w:t>金融机构投融资活动的环境影响</w:t>
      </w:r>
    </w:p>
    <w:p>
      <w:pPr>
        <w:pStyle w:val="29"/>
        <w:rPr>
          <w:rFonts w:hint="eastAsia" w:ascii="方正仿宋_GBK" w:hAnsi="方正仿宋_GBK" w:eastAsia="方正仿宋_GBK" w:cs="方正仿宋_GBK"/>
          <w:kern w:val="0"/>
          <w:sz w:val="32"/>
          <w:szCs w:val="32"/>
          <w:lang w:val="zh-TW" w:eastAsia="zh-CN" w:bidi="ar-SA"/>
        </w:rPr>
      </w:pPr>
      <w:r>
        <w:rPr>
          <w:rFonts w:hint="eastAsia" w:ascii="方正仿宋_GBK" w:hAnsi="方正仿宋_GBK" w:eastAsia="方正仿宋_GBK" w:cs="方正仿宋_GBK"/>
          <w:kern w:val="0"/>
          <w:sz w:val="32"/>
          <w:szCs w:val="32"/>
          <w:lang w:val="en-US" w:eastAsia="zh-CN" w:bidi="ar-SA"/>
        </w:rPr>
        <w:t>本行将绿色发展理念融入打造业务特色全过程，持续加大服务绿色低碳转型力度。 结合总行“2+N”绿色金融政策体系，将绿色发展理念融入授信管理，推动绿色信贷识别和ESG评价体系建设。</w:t>
      </w:r>
    </w:p>
    <w:bookmarkEnd w:id="44"/>
    <w:p>
      <w:pPr>
        <w:pStyle w:val="33"/>
        <w:numPr>
          <w:ilvl w:val="1"/>
          <w:numId w:val="0"/>
        </w:numPr>
        <w:ind w:left="142" w:leftChars="0" w:firstLine="643" w:firstLineChars="200"/>
        <w:rPr>
          <w:rFonts w:hint="default" w:ascii="方正楷体_GBK" w:hAnsi="方正楷体_GBK" w:eastAsia="方正楷体_GBK" w:cs="方正楷体_GBK"/>
          <w:b/>
          <w:bCs/>
          <w:kern w:val="0"/>
          <w:sz w:val="32"/>
          <w:szCs w:val="32"/>
          <w:lang w:val="en-US" w:eastAsia="zh-CN" w:bidi="ar-SA"/>
        </w:rPr>
      </w:pPr>
      <w:bookmarkStart w:id="46" w:name="_Toc7297"/>
      <w:r>
        <w:rPr>
          <w:rFonts w:hint="eastAsia" w:ascii="方正楷体_GBK" w:hAnsi="方正楷体_GBK" w:eastAsia="方正楷体_GBK" w:cs="方正楷体_GBK"/>
          <w:b/>
          <w:bCs/>
          <w:kern w:val="0"/>
          <w:sz w:val="32"/>
          <w:szCs w:val="32"/>
          <w:lang w:val="en-US" w:eastAsia="zh-CN" w:bidi="ar-SA"/>
        </w:rPr>
        <w:t>7.1</w:t>
      </w:r>
      <w:bookmarkEnd w:id="46"/>
      <w:r>
        <w:rPr>
          <w:rFonts w:hint="eastAsia" w:ascii="方正楷体_GBK" w:hAnsi="方正楷体_GBK" w:eastAsia="方正楷体_GBK" w:cs="方正楷体_GBK"/>
          <w:b/>
          <w:bCs/>
          <w:kern w:val="0"/>
          <w:sz w:val="32"/>
          <w:szCs w:val="32"/>
          <w:lang w:val="en-US" w:eastAsia="zh-CN" w:bidi="ar-SA"/>
        </w:rPr>
        <w:t>金融机构投融资所产生的环境影响</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持续加大对生态环境产业领域（生态农林牧渔业、生态保护、生态修复）、</w:t>
      </w:r>
      <w:r>
        <w:rPr>
          <w:rFonts w:hint="default" w:ascii="方正仿宋_GBK" w:hAnsi="方正仿宋_GBK" w:eastAsia="方正仿宋_GBK" w:cs="方正仿宋_GBK"/>
          <w:kern w:val="0"/>
          <w:sz w:val="32"/>
          <w:szCs w:val="32"/>
          <w:lang w:val="en-US" w:eastAsia="zh-CN" w:bidi="ar-SA"/>
        </w:rPr>
        <w:t>重点地域深化生物多样性保护</w:t>
      </w:r>
      <w:r>
        <w:rPr>
          <w:rFonts w:hint="eastAsia" w:ascii="方正仿宋_GBK" w:hAnsi="方正仿宋_GBK" w:eastAsia="方正仿宋_GBK" w:cs="方正仿宋_GBK"/>
          <w:kern w:val="0"/>
          <w:sz w:val="32"/>
          <w:szCs w:val="32"/>
          <w:lang w:val="en-US" w:eastAsia="zh-CN" w:bidi="ar-SA"/>
        </w:rPr>
        <w:t>等生态金融领域方面的金融支持力度，积极探索</w:t>
      </w:r>
      <w:r>
        <w:rPr>
          <w:rFonts w:hint="default" w:ascii="方正仿宋_GBK" w:hAnsi="方正仿宋_GBK" w:eastAsia="方正仿宋_GBK" w:cs="方正仿宋_GBK"/>
          <w:kern w:val="0"/>
          <w:sz w:val="32"/>
          <w:szCs w:val="32"/>
          <w:lang w:val="en-US" w:eastAsia="zh-CN" w:bidi="ar-SA"/>
        </w:rPr>
        <w:t>基于碳排放权、用能权、排污权等各类资源环境权益的融资工具</w:t>
      </w:r>
      <w:r>
        <w:rPr>
          <w:rFonts w:hint="eastAsia" w:ascii="方正仿宋_GBK" w:hAnsi="方正仿宋_GBK" w:eastAsia="方正仿宋_GBK" w:cs="方正仿宋_GBK"/>
          <w:kern w:val="0"/>
          <w:sz w:val="32"/>
          <w:szCs w:val="32"/>
          <w:lang w:val="en-US" w:eastAsia="zh-CN" w:bidi="ar-SA"/>
        </w:rPr>
        <w:t>运用。</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A、**区数字化绿色渔业项目</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该项目主要建设内容包括标准化池塘改造及工厂化养殖，总用地面积12400亩，其中：</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1、标准化池塘改造：拟改造**区域内原有中低产池塘12000亩，其中养殖池塘区域面积约9600亩，尾水处理区域面积约1200亩，其他道路、水电、环卫等附属设施面积约1200亩；</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2、工厂化养殖：利用100亩设施用地，新建商品鱼养殖车间22000平方米，育苗驯化车间4400平方米，冷藏库540平方米，仓库500平方米，并配套相关附属设施；养殖外塘改造300亩，配套相关养殖设备。</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湖州**区素有“鱼米之乡、丝绸之府”的美誉，是全国粮食生产先进县（区），尤其近年来，**区水产养殖业发展迅速，但也面临环境污染、生态破坏、产品质量安全等问题。作为**区农业产业运营的主承载平台，湖州**集团有限公司积极推进绿色渔业项目，通过标准化池塘改造、工业化循环水养殖、养殖尾水循环利用等方式，将现代工厂化设施和水产养殖技术相结合，进一步提升鱼类养殖效率和环境可持续性。</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项目建成后预计可年节水850万吨，同时通过工业化养鱼，以数字赋能智慧渔业发展，为传统渔业注入新动能，助力产业转型升级和农民农村共同富裕。</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B、**镇自来水厂收购及提升改造工程项目</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镇自来水厂收购及提升改造工程项目主要建设内容包括**自来水厂进行资产收购、自来水厂改造提升和管道改造提升。具体如下：1、自来水厂改造提升主要为建筑物改造提升1694.08㎡、构筑物改造提升1365.43㎡、道路改造提升4070.10㎡、停车位改造提升210.60㎡、绿化工程3900.00㎡、设备改造提升1项、其他配套设施1项。2、管道改造提升主要为自来水管379815.22m、牵引管2432.36m、架空管1963.05m、其他配套设施1项。</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项目的建设可以解决**街道6个行政村、**街道4个行政村和**镇11个行政村及**街及**乡江排村共计50000多人口，16000多户居民饮水问题。是提高居民生活质量，建设整洁美丽城乡，构建和谐社会的需要；是优化布局完善配套，打造城乡融合示范区的需要；是增强城市活力和竞争力，激发城市发展潜力的需要。</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项目的建设符合**城镇总体规划，顺应了新时期发展的要求。同时也是政府实事工程、民心工程的重要内容。对全县生态人居环境有着十分明显的积极作用，有力地推动着全县朝着可持续发展以及生态文明建设的方向迈进。</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157" w:afterLines="50" w:afterAutospacing="0" w:line="360" w:lineRule="auto"/>
        <w:ind w:left="136" w:firstLine="646"/>
        <w:textAlignment w:val="auto"/>
        <w:rPr>
          <w:rFonts w:hint="eastAsia" w:ascii="方正楷体_GBK" w:hAnsi="方正楷体_GBK" w:eastAsia="方正楷体_GBK" w:cs="方正楷体_GBK"/>
          <w:b/>
          <w:i w:val="0"/>
          <w:color w:val="0000FF"/>
          <w:kern w:val="0"/>
          <w:sz w:val="32"/>
          <w:szCs w:val="32"/>
          <w:lang w:eastAsia="zh-CN"/>
        </w:rPr>
      </w:pPr>
      <w:r>
        <w:rPr>
          <w:rFonts w:hint="eastAsia" w:ascii="方正楷体_GBK" w:hAnsi="方正楷体_GBK" w:eastAsia="方正楷体_GBK" w:cs="方正楷体_GBK"/>
          <w:b/>
          <w:i w:val="0"/>
          <w:kern w:val="0"/>
          <w:sz w:val="32"/>
          <w:szCs w:val="32"/>
          <w:lang w:val="en-US" w:eastAsia="zh-CN"/>
        </w:rPr>
        <w:t>7.2</w:t>
      </w:r>
      <w:r>
        <w:rPr>
          <w:rFonts w:hint="eastAsia" w:ascii="方正楷体_GBK" w:hAnsi="方正楷体_GBK" w:eastAsia="方正楷体_GBK" w:cs="方正楷体_GBK"/>
          <w:b/>
          <w:i w:val="0"/>
          <w:kern w:val="0"/>
          <w:sz w:val="32"/>
          <w:szCs w:val="32"/>
        </w:rPr>
        <w:t>环境风险对金融机构投融资影响的测算与表达</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投融资环境影响量化测算主要根据项目立项批复文件、项目可行性研究报告或项目环评报告中的节能减排种类和相应数据进行测算。对节能减排量等环境效益指标的计算评估，有利于实现金融推动地方经济绿色发展的可视化，量化绿色信贷对生态环境的促进作用。</w:t>
      </w:r>
    </w:p>
    <w:p>
      <w:pPr>
        <w:pStyle w:val="28"/>
        <w:tabs>
          <w:tab w:val="left" w:pos="949"/>
        </w:tabs>
        <w:spacing w:line="160" w:lineRule="atLeast"/>
        <w:jc w:val="center"/>
        <w:rPr>
          <w:rFonts w:hint="eastAsia" w:ascii="方正楷体_GBK" w:hAnsi="方正楷体_GBK" w:eastAsia="方正楷体_GBK" w:cs="方正楷体_GBK"/>
          <w:b/>
          <w:bCs/>
          <w:color w:val="auto"/>
          <w:kern w:val="0"/>
          <w:sz w:val="30"/>
          <w:szCs w:val="30"/>
          <w:u w:val="none"/>
          <w:lang w:val="zh-TW" w:eastAsia="zh-CN" w:bidi="ar-SA"/>
        </w:rPr>
      </w:pPr>
      <w:r>
        <w:rPr>
          <w:rFonts w:hint="eastAsia" w:ascii="方正楷体_GBK" w:hAnsi="方正楷体_GBK" w:eastAsia="方正楷体_GBK" w:cs="方正楷体_GBK"/>
          <w:b/>
          <w:bCs/>
          <w:color w:val="auto"/>
          <w:kern w:val="0"/>
          <w:sz w:val="30"/>
          <w:szCs w:val="30"/>
          <w:u w:val="none"/>
          <w:lang w:val="zh-TW" w:eastAsia="zh-CN" w:bidi="ar-SA"/>
        </w:rPr>
        <w:t>金融机构</w:t>
      </w:r>
      <w:r>
        <w:rPr>
          <w:rFonts w:hint="eastAsia" w:ascii="方正楷体_GBK" w:hAnsi="方正楷体_GBK" w:eastAsia="方正楷体_GBK" w:cs="方正楷体_GBK"/>
          <w:b/>
          <w:bCs/>
          <w:color w:val="auto"/>
          <w:kern w:val="0"/>
          <w:sz w:val="30"/>
          <w:szCs w:val="30"/>
          <w:u w:val="none"/>
          <w:lang w:val="zh-TW" w:eastAsia="zh-TW" w:bidi="ar-SA"/>
        </w:rPr>
        <w:t>投融资对环境产生的影响</w:t>
      </w:r>
    </w:p>
    <w:tbl>
      <w:tblPr>
        <w:tblStyle w:val="22"/>
        <w:tblW w:w="7576" w:type="dxa"/>
        <w:tblInd w:w="288" w:type="dxa"/>
        <w:tblLayout w:type="fixed"/>
        <w:tblCellMar>
          <w:top w:w="0" w:type="dxa"/>
          <w:left w:w="108" w:type="dxa"/>
          <w:bottom w:w="0" w:type="dxa"/>
          <w:right w:w="108" w:type="dxa"/>
        </w:tblCellMar>
      </w:tblPr>
      <w:tblGrid>
        <w:gridCol w:w="2446"/>
        <w:gridCol w:w="3120"/>
        <w:gridCol w:w="2010"/>
      </w:tblGrid>
      <w:tr>
        <w:tblPrEx>
          <w:tblCellMar>
            <w:top w:w="0" w:type="dxa"/>
            <w:left w:w="108" w:type="dxa"/>
            <w:bottom w:w="0" w:type="dxa"/>
            <w:right w:w="108" w:type="dxa"/>
          </w:tblCellMar>
        </w:tblPrEx>
        <w:trPr>
          <w:trHeight w:val="312" w:hRule="atLeast"/>
        </w:trPr>
        <w:tc>
          <w:tcPr>
            <w:tcW w:w="2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TW" w:bidi="ar"/>
              </w:rPr>
              <w:t>指标名称</w:t>
            </w:r>
          </w:p>
        </w:tc>
        <w:tc>
          <w:tcPr>
            <w:tcW w:w="31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TW" w:bidi="ar"/>
              </w:rPr>
              <w:t>披露细项</w:t>
            </w:r>
          </w:p>
        </w:tc>
        <w:tc>
          <w:tcPr>
            <w:tcW w:w="201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披露数据</w:t>
            </w:r>
            <w:r>
              <w:rPr>
                <w:rFonts w:hint="eastAsia" w:ascii="方正仿宋_GBK" w:hAnsi="方正仿宋_GBK" w:eastAsia="方正仿宋_GBK" w:cs="方正仿宋_GBK"/>
                <w:b/>
                <w:bCs/>
                <w:i w:val="0"/>
                <w:iCs w:val="0"/>
                <w:color w:val="000000"/>
                <w:kern w:val="0"/>
                <w:sz w:val="24"/>
                <w:szCs w:val="24"/>
                <w:u w:val="none"/>
                <w:lang w:val="zh-TW" w:eastAsia="zh-CN" w:bidi="ar"/>
              </w:rPr>
              <w:t>（人民银行口径）</w:t>
            </w:r>
          </w:p>
        </w:tc>
      </w:tr>
      <w:tr>
        <w:tblPrEx>
          <w:tblCellMar>
            <w:top w:w="0" w:type="dxa"/>
            <w:left w:w="108" w:type="dxa"/>
            <w:bottom w:w="0" w:type="dxa"/>
            <w:right w:w="108" w:type="dxa"/>
          </w:tblCellMar>
        </w:tblPrEx>
        <w:trPr>
          <w:trHeight w:val="312" w:hRule="atLeast"/>
        </w:trPr>
        <w:tc>
          <w:tcPr>
            <w:tcW w:w="24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绿色信贷余额及占比</w:t>
            </w:r>
          </w:p>
        </w:tc>
        <w:tc>
          <w:tcPr>
            <w:tcW w:w="31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绿色信贷余额（万元）</w:t>
            </w:r>
          </w:p>
        </w:tc>
        <w:tc>
          <w:tcPr>
            <w:tcW w:w="201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590706</w:t>
            </w:r>
          </w:p>
        </w:tc>
      </w:tr>
      <w:tr>
        <w:tblPrEx>
          <w:tblCellMar>
            <w:top w:w="0" w:type="dxa"/>
            <w:left w:w="108" w:type="dxa"/>
            <w:bottom w:w="0" w:type="dxa"/>
            <w:right w:w="108" w:type="dxa"/>
          </w:tblCellMar>
        </w:tblPrEx>
        <w:trPr>
          <w:trHeight w:val="312"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31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各项贷款余额（万元）</w:t>
            </w:r>
          </w:p>
        </w:tc>
        <w:tc>
          <w:tcPr>
            <w:tcW w:w="201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1998867</w:t>
            </w:r>
          </w:p>
        </w:tc>
      </w:tr>
      <w:tr>
        <w:tblPrEx>
          <w:tblCellMar>
            <w:top w:w="0" w:type="dxa"/>
            <w:left w:w="108" w:type="dxa"/>
            <w:bottom w:w="0" w:type="dxa"/>
            <w:right w:w="108" w:type="dxa"/>
          </w:tblCellMar>
        </w:tblPrEx>
        <w:trPr>
          <w:trHeight w:val="312"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31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绿色信贷占比（%）</w:t>
            </w:r>
          </w:p>
        </w:tc>
        <w:tc>
          <w:tcPr>
            <w:tcW w:w="201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29.55%</w:t>
            </w:r>
          </w:p>
        </w:tc>
      </w:tr>
      <w:tr>
        <w:tblPrEx>
          <w:tblCellMar>
            <w:top w:w="0" w:type="dxa"/>
            <w:left w:w="108" w:type="dxa"/>
            <w:bottom w:w="0" w:type="dxa"/>
            <w:right w:w="108" w:type="dxa"/>
          </w:tblCellMar>
        </w:tblPrEx>
        <w:trPr>
          <w:trHeight w:val="312" w:hRule="atLeast"/>
        </w:trPr>
        <w:tc>
          <w:tcPr>
            <w:tcW w:w="24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绿色信贷金额变动折合减排情况</w:t>
            </w:r>
          </w:p>
        </w:tc>
        <w:tc>
          <w:tcPr>
            <w:tcW w:w="31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折合减排标准煤（吨）</w:t>
            </w:r>
          </w:p>
        </w:tc>
        <w:tc>
          <w:tcPr>
            <w:tcW w:w="201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22474</w:t>
            </w:r>
          </w:p>
        </w:tc>
      </w:tr>
      <w:tr>
        <w:tblPrEx>
          <w:tblCellMar>
            <w:top w:w="0" w:type="dxa"/>
            <w:left w:w="108" w:type="dxa"/>
            <w:bottom w:w="0" w:type="dxa"/>
            <w:right w:w="108" w:type="dxa"/>
          </w:tblCellMar>
        </w:tblPrEx>
        <w:trPr>
          <w:trHeight w:val="312"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31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折合减排二氧化碳当量（吨）</w:t>
            </w:r>
          </w:p>
        </w:tc>
        <w:tc>
          <w:tcPr>
            <w:tcW w:w="201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52010</w:t>
            </w:r>
          </w:p>
        </w:tc>
      </w:tr>
      <w:tr>
        <w:tblPrEx>
          <w:tblCellMar>
            <w:top w:w="0" w:type="dxa"/>
            <w:left w:w="108" w:type="dxa"/>
            <w:bottom w:w="0" w:type="dxa"/>
            <w:right w:w="108" w:type="dxa"/>
          </w:tblCellMar>
        </w:tblPrEx>
        <w:trPr>
          <w:trHeight w:val="312"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31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折合减排化学需氧量（吨）</w:t>
            </w:r>
          </w:p>
        </w:tc>
        <w:tc>
          <w:tcPr>
            <w:tcW w:w="201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w:t>
            </w:r>
          </w:p>
        </w:tc>
      </w:tr>
      <w:tr>
        <w:tblPrEx>
          <w:tblCellMar>
            <w:top w:w="0" w:type="dxa"/>
            <w:left w:w="108" w:type="dxa"/>
            <w:bottom w:w="0" w:type="dxa"/>
            <w:right w:w="108" w:type="dxa"/>
          </w:tblCellMar>
        </w:tblPrEx>
        <w:trPr>
          <w:trHeight w:val="312"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31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折合减排氨氮（吨）</w:t>
            </w:r>
          </w:p>
        </w:tc>
        <w:tc>
          <w:tcPr>
            <w:tcW w:w="201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w:t>
            </w:r>
          </w:p>
        </w:tc>
      </w:tr>
      <w:tr>
        <w:tblPrEx>
          <w:tblCellMar>
            <w:top w:w="0" w:type="dxa"/>
            <w:left w:w="108" w:type="dxa"/>
            <w:bottom w:w="0" w:type="dxa"/>
            <w:right w:w="108" w:type="dxa"/>
          </w:tblCellMar>
        </w:tblPrEx>
        <w:trPr>
          <w:trHeight w:val="312"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31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折合减排二氧化硫（吨）</w:t>
            </w:r>
          </w:p>
        </w:tc>
        <w:tc>
          <w:tcPr>
            <w:tcW w:w="201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38.99</w:t>
            </w:r>
          </w:p>
        </w:tc>
      </w:tr>
      <w:tr>
        <w:tblPrEx>
          <w:tblCellMar>
            <w:top w:w="0" w:type="dxa"/>
            <w:left w:w="108" w:type="dxa"/>
            <w:bottom w:w="0" w:type="dxa"/>
            <w:right w:w="108" w:type="dxa"/>
          </w:tblCellMar>
        </w:tblPrEx>
        <w:trPr>
          <w:trHeight w:val="312"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31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折合减排氮氧化物（吨）</w:t>
            </w:r>
          </w:p>
        </w:tc>
        <w:tc>
          <w:tcPr>
            <w:tcW w:w="201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6.66</w:t>
            </w:r>
          </w:p>
        </w:tc>
      </w:tr>
      <w:tr>
        <w:tblPrEx>
          <w:tblCellMar>
            <w:top w:w="0" w:type="dxa"/>
            <w:left w:w="108" w:type="dxa"/>
            <w:bottom w:w="0" w:type="dxa"/>
            <w:right w:w="108" w:type="dxa"/>
          </w:tblCellMar>
        </w:tblPrEx>
        <w:trPr>
          <w:trHeight w:val="312"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31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折合节水（吨）</w:t>
            </w:r>
          </w:p>
        </w:tc>
        <w:tc>
          <w:tcPr>
            <w:tcW w:w="201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w:t>
            </w:r>
          </w:p>
        </w:tc>
      </w:tr>
      <w:tr>
        <w:tblPrEx>
          <w:tblCellMar>
            <w:top w:w="0" w:type="dxa"/>
            <w:left w:w="108" w:type="dxa"/>
            <w:bottom w:w="0" w:type="dxa"/>
            <w:right w:w="108" w:type="dxa"/>
          </w:tblCellMar>
        </w:tblPrEx>
        <w:trPr>
          <w:trHeight w:val="312" w:hRule="atLeast"/>
        </w:trPr>
        <w:tc>
          <w:tcPr>
            <w:tcW w:w="24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持有绿色债券余额及</w:t>
            </w:r>
            <w:r>
              <w:rPr>
                <w:rFonts w:hint="eastAsia" w:ascii="方正仿宋_GBK" w:hAnsi="方正仿宋_GBK" w:eastAsia="方正仿宋_GBK" w:cs="方正仿宋_GBK"/>
                <w:i w:val="0"/>
                <w:iCs w:val="0"/>
                <w:color w:val="000000"/>
                <w:kern w:val="0"/>
                <w:sz w:val="24"/>
                <w:szCs w:val="24"/>
                <w:u w:val="none"/>
                <w:lang w:val="en-US" w:eastAsia="zh-TW" w:bidi="ar"/>
              </w:rPr>
              <w:t>折合减排情况</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TW" w:bidi="ar"/>
              </w:rPr>
            </w:pPr>
            <w:r>
              <w:rPr>
                <w:rFonts w:hint="eastAsia" w:ascii="方正仿宋_GBK" w:hAnsi="方正仿宋_GBK" w:eastAsia="方正仿宋_GBK" w:cs="方正仿宋_GBK"/>
                <w:i w:val="0"/>
                <w:iCs w:val="0"/>
                <w:color w:val="000000"/>
                <w:kern w:val="0"/>
                <w:sz w:val="24"/>
                <w:szCs w:val="24"/>
                <w:u w:val="none"/>
                <w:lang w:val="en-US" w:eastAsia="zh-CN" w:bidi="ar"/>
              </w:rPr>
              <w:t>持有</w:t>
            </w:r>
            <w:r>
              <w:rPr>
                <w:rFonts w:hint="eastAsia" w:ascii="方正仿宋_GBK" w:hAnsi="方正仿宋_GBK" w:eastAsia="方正仿宋_GBK" w:cs="方正仿宋_GBK"/>
                <w:i w:val="0"/>
                <w:iCs w:val="0"/>
                <w:color w:val="000000"/>
                <w:kern w:val="0"/>
                <w:sz w:val="24"/>
                <w:szCs w:val="24"/>
                <w:u w:val="none"/>
                <w:lang w:val="en-US" w:eastAsia="zh-TW" w:bidi="ar"/>
              </w:rPr>
              <w:t>绿色</w:t>
            </w:r>
            <w:r>
              <w:rPr>
                <w:rFonts w:hint="eastAsia" w:ascii="方正仿宋_GBK" w:hAnsi="方正仿宋_GBK" w:eastAsia="方正仿宋_GBK" w:cs="方正仿宋_GBK"/>
                <w:i w:val="0"/>
                <w:iCs w:val="0"/>
                <w:color w:val="000000"/>
                <w:kern w:val="0"/>
                <w:sz w:val="24"/>
                <w:szCs w:val="24"/>
                <w:u w:val="none"/>
                <w:lang w:val="en-US" w:eastAsia="zh-CN" w:bidi="ar"/>
              </w:rPr>
              <w:t>债券</w:t>
            </w:r>
            <w:r>
              <w:rPr>
                <w:rFonts w:hint="eastAsia" w:ascii="方正仿宋_GBK" w:hAnsi="方正仿宋_GBK" w:eastAsia="方正仿宋_GBK" w:cs="方正仿宋_GBK"/>
                <w:i w:val="0"/>
                <w:iCs w:val="0"/>
                <w:color w:val="000000"/>
                <w:kern w:val="0"/>
                <w:sz w:val="24"/>
                <w:szCs w:val="24"/>
                <w:u w:val="none"/>
                <w:lang w:val="en-US" w:eastAsia="zh-TW" w:bidi="ar"/>
              </w:rPr>
              <w:t>余额（万元）</w:t>
            </w:r>
          </w:p>
        </w:tc>
        <w:tc>
          <w:tcPr>
            <w:tcW w:w="201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5000</w:t>
            </w:r>
          </w:p>
        </w:tc>
      </w:tr>
      <w:tr>
        <w:tblPrEx>
          <w:tblCellMar>
            <w:top w:w="0" w:type="dxa"/>
            <w:left w:w="108" w:type="dxa"/>
            <w:bottom w:w="0" w:type="dxa"/>
            <w:right w:w="108" w:type="dxa"/>
          </w:tblCellMar>
        </w:tblPrEx>
        <w:trPr>
          <w:trHeight w:val="312"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TW" w:bidi="ar"/>
              </w:rPr>
            </w:pPr>
            <w:r>
              <w:rPr>
                <w:rFonts w:hint="eastAsia" w:ascii="方正仿宋_GBK" w:hAnsi="方正仿宋_GBK" w:eastAsia="方正仿宋_GBK" w:cs="方正仿宋_GBK"/>
                <w:i w:val="0"/>
                <w:iCs w:val="0"/>
                <w:color w:val="000000"/>
                <w:kern w:val="0"/>
                <w:sz w:val="24"/>
                <w:szCs w:val="24"/>
                <w:u w:val="none"/>
                <w:lang w:val="en-US" w:eastAsia="zh-TW" w:bidi="ar"/>
              </w:rPr>
              <w:t>折合减排二氧化碳当量（吨）</w:t>
            </w:r>
          </w:p>
        </w:tc>
        <w:tc>
          <w:tcPr>
            <w:tcW w:w="201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1229</w:t>
            </w:r>
          </w:p>
        </w:tc>
      </w:tr>
    </w:tbl>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default" w:ascii="方正仿宋_GBK" w:hAnsi="方正仿宋_GBK" w:eastAsia="方正仿宋_GBK" w:cs="方正仿宋_GBK"/>
          <w:color w:val="auto"/>
          <w:kern w:val="0"/>
          <w:sz w:val="32"/>
          <w:szCs w:val="32"/>
          <w:u w:val="none" w:color="000000"/>
          <w:lang w:val="zh-TW" w:eastAsia="zh-CN" w:bidi="ar-SA"/>
        </w:rPr>
      </w:pPr>
      <w:r>
        <w:rPr>
          <w:rFonts w:hint="eastAsia" w:ascii="方正黑体_GBK" w:hAnsi="方正黑体_GBK" w:eastAsia="方正黑体_GBK" w:cs="方正黑体_GBK"/>
          <w:b w:val="0"/>
          <w:bCs/>
          <w:sz w:val="32"/>
          <w:szCs w:val="32"/>
          <w:lang w:val="en-US" w:eastAsia="zh-CN"/>
        </w:rPr>
        <w:t xml:space="preserve">金融机构经营活动的环境影响 </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157" w:afterLines="50" w:afterAutospacing="0" w:line="360" w:lineRule="auto"/>
        <w:ind w:left="136" w:firstLine="646"/>
        <w:textAlignment w:val="auto"/>
        <w:rPr>
          <w:rFonts w:hint="eastAsia" w:ascii="方正仿宋_GBK" w:hAnsi="方正仿宋_GBK" w:eastAsia="方正仿宋_GBK" w:cs="方正仿宋_GBK"/>
          <w:color w:val="auto"/>
          <w:kern w:val="0"/>
          <w:sz w:val="32"/>
          <w:szCs w:val="32"/>
          <w:u w:val="none"/>
          <w:lang w:val="zh-TW" w:eastAsia="zh-CN" w:bidi="ar-SA"/>
        </w:rPr>
      </w:pPr>
      <w:r>
        <w:rPr>
          <w:rFonts w:hint="default" w:ascii="方正仿宋_GBK" w:hAnsi="方正仿宋_GBK" w:eastAsia="方正仿宋_GBK" w:cs="方正仿宋_GBK"/>
          <w:color w:val="auto"/>
          <w:kern w:val="0"/>
          <w:sz w:val="32"/>
          <w:szCs w:val="32"/>
          <w:u w:val="none" w:color="000000"/>
          <w:lang w:val="zh-TW" w:eastAsia="zh-CN" w:bidi="ar-SA"/>
        </w:rPr>
        <w:t>经营活动环境影响量化测算统计口径与测算方法主要参照《湖州市银行信贷碳排放计量方法指南》、《银行机构自身运营碳盘查指南》，以交通银行湖州分行市本级机关及各经营网点、离行设备及固定/移动设备设施和与自身运营有关的供应链作为核算边界，根据实际消耗的水、电用量、用纸箱数、单位车辆用油等进行折算。</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方正楷体_GBK" w:hAnsi="方正楷体_GBK" w:eastAsia="方正楷体_GBK" w:cs="方正楷体_GBK"/>
          <w:vanish w:val="0"/>
          <w:kern w:val="0"/>
          <w:sz w:val="32"/>
          <w:szCs w:val="32"/>
        </w:rPr>
      </w:pPr>
      <w:bookmarkStart w:id="47" w:name="_Toc23339694"/>
      <w:bookmarkStart w:id="48" w:name="_Toc26878"/>
      <w:bookmarkStart w:id="49" w:name="_Toc23339956"/>
      <w:r>
        <w:rPr>
          <w:rFonts w:hint="eastAsia" w:ascii="方正楷体_GBK" w:hAnsi="方正楷体_GBK" w:eastAsia="方正楷体_GBK" w:cs="方正楷体_GBK"/>
          <w:b/>
          <w:i w:val="0"/>
          <w:kern w:val="0"/>
          <w:sz w:val="32"/>
          <w:szCs w:val="32"/>
          <w:lang w:val="en-US" w:eastAsia="zh-CN"/>
        </w:rPr>
        <w:t>8</w:t>
      </w:r>
      <w:r>
        <w:rPr>
          <w:rFonts w:hint="eastAsia" w:ascii="方正楷体_GBK" w:hAnsi="方正楷体_GBK" w:eastAsia="方正楷体_GBK" w:cs="方正楷体_GBK"/>
          <w:b/>
          <w:i w:val="0"/>
          <w:kern w:val="0"/>
          <w:sz w:val="32"/>
          <w:szCs w:val="32"/>
        </w:rPr>
        <w:t>.1 金融机构经营活动产生的直接温室气体排放和自然资源消耗</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经营活动产生的直接温室气体排放和自然资源消耗包括但不限于：a)自有交通运输工具所消耗的能源。b)自有采暖（制冷）设备所消耗的能源。c)营业、办公活动所消耗的水。</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方正楷体_GBK" w:hAnsi="方正楷体_GBK" w:eastAsia="方正楷体_GBK" w:cs="方正楷体_GBK"/>
          <w:vanish w:val="0"/>
          <w:kern w:val="0"/>
          <w:sz w:val="32"/>
          <w:szCs w:val="32"/>
        </w:rPr>
      </w:pPr>
      <w:r>
        <w:rPr>
          <w:rFonts w:hint="eastAsia" w:ascii="方正楷体_GBK" w:hAnsi="方正楷体_GBK" w:eastAsia="方正楷体_GBK" w:cs="方正楷体_GBK"/>
          <w:b/>
          <w:i w:val="0"/>
          <w:kern w:val="0"/>
          <w:sz w:val="32"/>
          <w:szCs w:val="32"/>
          <w:lang w:val="en-US" w:eastAsia="zh-CN"/>
        </w:rPr>
        <w:t>8.2</w:t>
      </w:r>
      <w:r>
        <w:rPr>
          <w:rFonts w:hint="eastAsia" w:ascii="方正楷体_GBK" w:hAnsi="方正楷体_GBK" w:eastAsia="方正楷体_GBK" w:cs="方正楷体_GBK"/>
          <w:b/>
          <w:i w:val="0"/>
          <w:kern w:val="0"/>
          <w:sz w:val="32"/>
          <w:szCs w:val="32"/>
        </w:rPr>
        <w:t>金融机构采购的产品或服务所产生的间接温室气体排放和间接自然资源消耗</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金融机构采购的产品或服务所产生的间接温室气体排放和间接自然资源消耗包括但不限于：a)营业、办公所消耗的电力。b)营业、办公所使用的纸张。c)购买的采暖（制冷）服务所消耗的燃料。</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方正楷体_GBK" w:hAnsi="方正楷体_GBK" w:eastAsia="方正楷体_GBK" w:cs="方正楷体_GBK"/>
          <w:vanish w:val="0"/>
          <w:kern w:val="0"/>
          <w:sz w:val="32"/>
          <w:szCs w:val="32"/>
        </w:rPr>
      </w:pPr>
      <w:r>
        <w:rPr>
          <w:rFonts w:hint="eastAsia" w:ascii="方正楷体_GBK" w:hAnsi="方正楷体_GBK" w:eastAsia="方正楷体_GBK" w:cs="方正楷体_GBK"/>
          <w:b/>
          <w:i w:val="0"/>
          <w:kern w:val="0"/>
          <w:sz w:val="32"/>
          <w:szCs w:val="32"/>
          <w:lang w:val="en-US" w:eastAsia="zh-CN"/>
        </w:rPr>
        <w:t>8.3</w:t>
      </w:r>
      <w:r>
        <w:rPr>
          <w:rFonts w:hint="eastAsia" w:ascii="方正楷体_GBK" w:hAnsi="方正楷体_GBK" w:eastAsia="方正楷体_GBK" w:cs="方正楷体_GBK"/>
          <w:b/>
          <w:i w:val="0"/>
          <w:kern w:val="0"/>
          <w:sz w:val="32"/>
          <w:szCs w:val="32"/>
        </w:rPr>
        <w:t>金融机构采取环保措施所产生的环境效益</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lang w:val="en-US" w:eastAsia="zh-CN"/>
        </w:rPr>
        <w:t>A)倡导绿色办公</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倡导各经营单位针对绿色办公制定各项规定，将绿色办公落到实处。</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1)照明系统管理。随季节变化及时调整公共照明以及霓虹灯开关时间。每日午休期间，会在不影响正常行走的前提下调节公共区域照明，节约能源。</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2)空调系统管理。所有办公区域空调制冷温度设置不低于26℃，非工作及使用时间确保各类电源处于关闭状态。</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3)能耗设备管理。推动节能绿色建筑设计，优选各类绿色低能耗建材，加大绿色技术、设备投入力度，淘汰部分高能耗设施设备，如节能型ATM机、节能型智能柜员机、节能灯等。</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4)无纸化办公。全面推行无纸化办公，降低纸张消耗量，提倡双面用纸,充分利用网络资源、电子邮件等代替纸的使用。</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lang w:val="en-US" w:eastAsia="zh-CN"/>
        </w:rPr>
        <w:t>B)鼓励员工绿色生活</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积极倡导员工以公共交通为主要方式进行出行，鼓励员工驾驶新能源汽车或电动车、自行车出行。尽量选择拼车上班或出行，最大程度降低其他间接排放。大力推进生活垃圾分类管理，严抓产生源头，对可回收垃圾开展回收工作，在全行内持续推进光盘行动、无纸化办公。</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right="-1233" w:rightChars="-587" w:firstLine="643" w:firstLineChars="200"/>
        <w:jc w:val="left"/>
        <w:textAlignment w:val="auto"/>
        <w:rPr>
          <w:rFonts w:hint="eastAsia" w:ascii="方正楷体_GBK" w:hAnsi="方正楷体_GBK" w:eastAsia="方正楷体_GBK" w:cs="方正楷体_GBK"/>
          <w:b/>
          <w:i w:val="0"/>
          <w:color w:val="auto"/>
          <w:kern w:val="0"/>
          <w:sz w:val="32"/>
          <w:szCs w:val="32"/>
          <w:lang w:val="zh-TW" w:eastAsia="zh-CN" w:bidi="ar-SA"/>
        </w:rPr>
      </w:pPr>
      <w:r>
        <w:rPr>
          <w:rFonts w:hint="eastAsia" w:ascii="方正楷体_GBK" w:hAnsi="方正楷体_GBK" w:eastAsia="方正楷体_GBK" w:cs="方正楷体_GBK"/>
          <w:b/>
          <w:i w:val="0"/>
          <w:color w:val="auto"/>
          <w:kern w:val="0"/>
          <w:sz w:val="32"/>
          <w:szCs w:val="32"/>
          <w:lang w:val="en-US" w:eastAsia="zh-CN" w:bidi="ar-SA"/>
        </w:rPr>
        <w:t>8</w:t>
      </w:r>
      <w:r>
        <w:rPr>
          <w:rFonts w:hint="eastAsia" w:ascii="方正楷体_GBK" w:hAnsi="方正楷体_GBK" w:eastAsia="方正楷体_GBK" w:cs="方正楷体_GBK"/>
          <w:b/>
          <w:i w:val="0"/>
          <w:color w:val="auto"/>
          <w:kern w:val="0"/>
          <w:sz w:val="32"/>
          <w:szCs w:val="32"/>
          <w:lang w:val="zh-TW" w:eastAsia="zh-CN" w:bidi="ar-SA"/>
        </w:rPr>
        <w:t>.4 经营活动环境影响的量化测算</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right="-80" w:rightChars="-38"/>
        <w:jc w:val="center"/>
        <w:textAlignment w:val="auto"/>
        <w:rPr>
          <w:rFonts w:hint="eastAsia" w:ascii="方正楷体_GBK" w:hAnsi="方正楷体_GBK" w:eastAsia="方正楷体_GBK" w:cs="方正楷体_GBK"/>
          <w:b/>
          <w:bCs/>
          <w:color w:val="000000"/>
          <w:kern w:val="0"/>
          <w:sz w:val="32"/>
          <w:szCs w:val="32"/>
        </w:rPr>
      </w:pPr>
      <w:r>
        <w:rPr>
          <w:rFonts w:hint="eastAsia" w:ascii="方正楷体_GBK" w:hAnsi="方正楷体_GBK" w:eastAsia="方正楷体_GBK" w:cs="方正楷体_GBK"/>
          <w:b/>
          <w:bCs/>
          <w:color w:val="000000"/>
          <w:kern w:val="0"/>
          <w:sz w:val="32"/>
          <w:szCs w:val="32"/>
          <w:lang w:val="en-US" w:eastAsia="zh-CN"/>
        </w:rPr>
        <w:t>交通银行湖州分行</w:t>
      </w:r>
      <w:r>
        <w:rPr>
          <w:rFonts w:hint="eastAsia" w:ascii="方正楷体_GBK" w:hAnsi="方正楷体_GBK" w:eastAsia="方正楷体_GBK" w:cs="方正楷体_GBK"/>
          <w:b/>
          <w:bCs/>
          <w:color w:val="000000"/>
          <w:kern w:val="0"/>
          <w:sz w:val="32"/>
          <w:szCs w:val="32"/>
        </w:rPr>
        <w:t>经营活动对环境产生的影响</w:t>
      </w:r>
    </w:p>
    <w:tbl>
      <w:tblPr>
        <w:tblStyle w:val="22"/>
        <w:tblW w:w="8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6"/>
        <w:gridCol w:w="4747"/>
        <w:gridCol w:w="1039"/>
        <w:gridCol w:w="1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指标名称</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披露细项</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总量</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人均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经营活动直接产生的温室气体排放和自然资源的消耗</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机构自有交通运输工具所消耗的燃油（升）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sz w:val="24"/>
                <w:szCs w:val="24"/>
                <w:highlight w:val="none"/>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14306</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sz w:val="24"/>
                <w:szCs w:val="24"/>
                <w:highlight w:val="none"/>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highlight w:val="none"/>
                <w:u w:val="none"/>
              </w:rPr>
            </w:pP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自有采暖（制冷）设备所消耗的燃料（升）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highlight w:val="none"/>
                <w:u w:val="none"/>
              </w:rPr>
            </w:pP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营业、办公活动所消耗的水（吨）</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sz w:val="24"/>
                <w:szCs w:val="24"/>
                <w:highlight w:val="none"/>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12473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sz w:val="24"/>
                <w:szCs w:val="24"/>
                <w:highlight w:val="none"/>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采购的产品或服务所产生的间接温室气体排放和间接自然资源消耗</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营业、办公所消耗的电力（千瓦时）</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sz w:val="24"/>
                <w:szCs w:val="24"/>
                <w:highlight w:val="none"/>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1718196</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sz w:val="24"/>
                <w:szCs w:val="24"/>
                <w:highlight w:val="none"/>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6340.21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highlight w:val="none"/>
                <w:u w:val="none"/>
              </w:rPr>
            </w:pP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营业、办公所使用的纸张（吨）</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sz w:val="24"/>
                <w:szCs w:val="24"/>
                <w:highlight w:val="none"/>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sz w:val="24"/>
                <w:szCs w:val="24"/>
                <w:highlight w:val="none"/>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highlight w:val="none"/>
                <w:u w:val="none"/>
              </w:rPr>
            </w:pP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购买的采暖（制冷）服务所消耗的燃料（升）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highlight w:val="none"/>
                <w:u w:val="none"/>
              </w:rPr>
            </w:pP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雇员因工作需要乘坐公共交通工具所消耗的能源（升）-可选项</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金融机构环保措施所产生的效果</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为提升员工及社会公众的环保意识所举办的培训活动或公益活动（人次）</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sz w:val="24"/>
                <w:szCs w:val="24"/>
                <w:highlight w:val="yellow"/>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1963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yellow"/>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r>
    </w:tbl>
    <w:p>
      <w:pPr>
        <w:pStyle w:val="29"/>
        <w:ind w:left="0" w:leftChars="0" w:firstLine="0" w:firstLineChars="0"/>
        <w:rPr>
          <w:rFonts w:hint="eastAsia"/>
          <w:lang w:val="en-US" w:eastAsia="zh-CN"/>
        </w:rPr>
      </w:pPr>
    </w:p>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数据梳理、校验及保护</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本行认真落实各项法律法规要求，持续完善数据管理制度体系，总行制定印发了《交通银行员工个人信息保护管理办法》《交通银行数据安全办法》《交通银行数据安全事件应急管理办法》等制度，建立了全行体系化的数据管理机制，重点加强了全行数据安全管理要求，提升了全行数据安全防护能力。</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lang w:val="en-US" w:eastAsia="zh-CN"/>
        </w:rPr>
      </w:pPr>
      <w:r>
        <w:rPr>
          <w:rFonts w:hint="eastAsia" w:ascii="方正仿宋_GBK" w:hAnsi="方正仿宋_GBK" w:eastAsia="方正仿宋_GBK" w:cs="方正仿宋_GBK"/>
          <w:kern w:val="0"/>
          <w:sz w:val="32"/>
          <w:szCs w:val="32"/>
          <w:lang w:val="en-US" w:eastAsia="zh-CN"/>
        </w:rPr>
        <w:t>持续开展常态化绿色信贷分类自查工作，推动经营单位不断加强数据源头管理。每月由专人对分行绿色信贷数据与A3327报表进行核对，逐户校验绿色信贷标识是否正确。每季由专人对绿色融资报表进行核对，逐项校验绿色融资分类准确性，并多次开展绿色信贷分类排查，进一步提升相关基础数据质量，保证数据以及对外披露信息的及时性、准确性。此外，总行积极开发绿色信贷提级审批预警模型，要求客户经理及经营单位负责人对触发预警模型的绿色信贷分类进行审核确认，通过“人防+技防”等多种方式进一步压实第一道防线责任。</w:t>
      </w:r>
    </w:p>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绿色金融创新及研究成果</w:t>
      </w:r>
      <w:bookmarkEnd w:id="47"/>
      <w:bookmarkEnd w:id="48"/>
      <w:bookmarkEnd w:id="49"/>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kern w:val="0"/>
          <w:sz w:val="32"/>
          <w:szCs w:val="32"/>
          <w:highlight w:val="none"/>
          <w:lang w:val="en-US" w:eastAsia="zh-CN"/>
        </w:rPr>
      </w:pPr>
      <w:r>
        <w:rPr>
          <w:rFonts w:hint="eastAsia" w:ascii="方正楷体_GBK" w:hAnsi="方正楷体_GBK" w:eastAsia="方正楷体_GBK" w:cs="方正楷体_GBK"/>
          <w:b/>
          <w:bCs/>
          <w:kern w:val="0"/>
          <w:sz w:val="32"/>
          <w:szCs w:val="32"/>
          <w:highlight w:val="none"/>
          <w:lang w:val="en-US" w:eastAsia="zh-CN"/>
        </w:rPr>
        <w:t>A)案例背景：</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b w:val="0"/>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lang w:val="en-US" w:eastAsia="zh-CN" w:bidi="ar-SA"/>
          <w14:textFill>
            <w14:solidFill>
              <w14:schemeClr w14:val="tx1"/>
            </w14:solidFill>
          </w14:textFill>
        </w:rPr>
        <w:t>发展转型金融是深入贯彻新发展理念、落实绿色转型发展新部署的重要抓手。交通银行湖州分行作为系统内唯一一家绿色金融业务创新试点行，紧跟湖州建设省级转型金融试点步伐，充分发挥国有大行社会担当，聚焦传统产业转型升级、新质生产力培育等重点领域，通过政银企合作等方式，服务了一批以湖州南浔XX发展集团有限公司为典型的绿色低碳转型企业，全面支持湖州经济高质量发展、加快绿色低碳转型。</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color w:val="000000" w:themeColor="text1"/>
          <w:sz w:val="32"/>
          <w:szCs w:val="32"/>
          <w:lang w:val="en-US" w:eastAsia="zh-CN" w:bidi="ar-SA"/>
          <w14:textFill>
            <w14:solidFill>
              <w14:schemeClr w14:val="tx1"/>
            </w14:solidFill>
          </w14:textFill>
        </w:rPr>
        <w:t>浙江是国家农业转型目录试点地区，</w:t>
      </w:r>
      <w:r>
        <w:rPr>
          <w:rFonts w:hint="eastAsia" w:ascii="方正仿宋_GBK" w:hAnsi="方正仿宋_GBK" w:eastAsia="方正仿宋_GBK" w:cs="方正仿宋_GBK"/>
          <w:sz w:val="32"/>
          <w:szCs w:val="32"/>
        </w:rPr>
        <w:t>交通银行</w:t>
      </w:r>
      <w:r>
        <w:rPr>
          <w:rFonts w:hint="eastAsia" w:ascii="方正仿宋_GBK" w:hAnsi="方正仿宋_GBK" w:eastAsia="方正仿宋_GBK" w:cs="方正仿宋_GBK"/>
          <w:sz w:val="32"/>
          <w:szCs w:val="32"/>
          <w:lang w:val="en-US" w:eastAsia="zh-CN"/>
        </w:rPr>
        <w:t>湖州分行积极</w:t>
      </w:r>
      <w:r>
        <w:rPr>
          <w:rFonts w:hint="eastAsia" w:ascii="方正仿宋_GBK" w:hAnsi="方正仿宋_GBK" w:eastAsia="方正仿宋_GBK" w:cs="方正仿宋_GBK"/>
          <w:sz w:val="32"/>
          <w:szCs w:val="32"/>
        </w:rPr>
        <w:t>对标试用《转型金融支持经济活动目录（农业）》，根据渔业智能机械化等路径，向湖州南浔</w:t>
      </w:r>
      <w:r>
        <w:rPr>
          <w:rFonts w:hint="eastAsia" w:ascii="方正仿宋_GBK" w:hAnsi="方正仿宋_GBK" w:eastAsia="方正仿宋_GBK" w:cs="方正仿宋_GBK"/>
          <w:sz w:val="32"/>
          <w:szCs w:val="32"/>
          <w:lang w:val="en-US" w:eastAsia="zh-CN"/>
        </w:rPr>
        <w:t>XX</w:t>
      </w:r>
      <w:r>
        <w:rPr>
          <w:rFonts w:hint="eastAsia" w:ascii="方正仿宋_GBK" w:hAnsi="方正仿宋_GBK" w:eastAsia="方正仿宋_GBK" w:cs="方正仿宋_GBK"/>
          <w:sz w:val="32"/>
          <w:szCs w:val="32"/>
        </w:rPr>
        <w:t>发展集团有限公司旗下数字化绿色渔业项目</w:t>
      </w:r>
      <w:r>
        <w:rPr>
          <w:rFonts w:hint="eastAsia" w:ascii="方正仿宋_GBK" w:hAnsi="方正仿宋_GBK" w:eastAsia="方正仿宋_GBK" w:cs="方正仿宋_GBK"/>
          <w:sz w:val="32"/>
          <w:szCs w:val="32"/>
          <w:lang w:val="en-US" w:eastAsia="zh-CN"/>
        </w:rPr>
        <w:t>提供授信3.5亿元，于2024年11月首笔</w:t>
      </w:r>
      <w:r>
        <w:rPr>
          <w:rFonts w:hint="eastAsia" w:ascii="方正仿宋_GBK" w:hAnsi="方正仿宋_GBK" w:eastAsia="方正仿宋_GBK" w:cs="方正仿宋_GBK"/>
          <w:sz w:val="32"/>
          <w:szCs w:val="32"/>
        </w:rPr>
        <w:t>发放贷款</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亿元。这是浙江省落地的首笔农业领域转型贷款，也是首单将碳强度和</w:t>
      </w:r>
      <w:r>
        <w:rPr>
          <w:rFonts w:ascii="方正仿宋_GBK" w:hAnsi="方正仿宋_GBK" w:eastAsia="方正仿宋_GBK" w:cs="方正仿宋_GBK"/>
          <w:sz w:val="32"/>
          <w:szCs w:val="32"/>
        </w:rPr>
        <w:t>ESG</w:t>
      </w:r>
      <w:r>
        <w:rPr>
          <w:rFonts w:hint="eastAsia" w:ascii="方正仿宋_GBK" w:hAnsi="方正仿宋_GBK" w:eastAsia="方正仿宋_GBK" w:cs="方正仿宋_GBK"/>
          <w:sz w:val="32"/>
          <w:szCs w:val="32"/>
        </w:rPr>
        <w:t>评价双挂钩的转型贷款。</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kern w:val="0"/>
          <w:sz w:val="32"/>
          <w:szCs w:val="32"/>
          <w:highlight w:val="none"/>
          <w:lang w:val="en-US" w:eastAsia="zh-CN"/>
        </w:rPr>
      </w:pPr>
      <w:r>
        <w:rPr>
          <w:rFonts w:hint="eastAsia" w:ascii="方正楷体_GBK" w:hAnsi="方正楷体_GBK" w:eastAsia="方正楷体_GBK" w:cs="方正楷体_GBK"/>
          <w:b/>
          <w:bCs/>
          <w:kern w:val="0"/>
          <w:sz w:val="32"/>
          <w:szCs w:val="32"/>
          <w:highlight w:val="none"/>
          <w:lang w:val="en-US" w:eastAsia="zh-CN"/>
        </w:rPr>
        <w:t>B)主要做法：</w:t>
      </w:r>
    </w:p>
    <w:p>
      <w:pPr>
        <w:pStyle w:val="20"/>
        <w:widowControl/>
        <w:spacing w:line="560"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了解</w:t>
      </w:r>
      <w:r>
        <w:rPr>
          <w:rFonts w:hint="eastAsia" w:ascii="方正仿宋_GBK" w:hAnsi="方正仿宋_GBK" w:eastAsia="方正仿宋_GBK" w:cs="方正仿宋_GBK"/>
          <w:sz w:val="32"/>
          <w:szCs w:val="32"/>
          <w:lang w:val="en-US" w:eastAsia="zh-CN"/>
        </w:rPr>
        <w:t>到</w:t>
      </w:r>
      <w:r>
        <w:rPr>
          <w:rFonts w:hint="eastAsia" w:ascii="方正仿宋_GBK" w:hAnsi="方正仿宋_GBK" w:eastAsia="方正仿宋_GBK" w:cs="方正仿宋_GBK"/>
          <w:sz w:val="32"/>
          <w:szCs w:val="32"/>
        </w:rPr>
        <w:t>项目情况及</w:t>
      </w:r>
      <w:r>
        <w:rPr>
          <w:rFonts w:hint="eastAsia" w:ascii="方正仿宋_GBK" w:hAnsi="方正仿宋_GBK" w:eastAsia="方正仿宋_GBK" w:cs="方正仿宋_GBK"/>
          <w:sz w:val="32"/>
          <w:szCs w:val="32"/>
          <w:lang w:val="en-US" w:eastAsia="zh-CN"/>
        </w:rPr>
        <w:t>企业</w:t>
      </w:r>
      <w:r>
        <w:rPr>
          <w:rFonts w:hint="eastAsia" w:ascii="方正仿宋_GBK" w:hAnsi="方正仿宋_GBK" w:eastAsia="方正仿宋_GBK" w:cs="方正仿宋_GBK"/>
          <w:sz w:val="32"/>
          <w:szCs w:val="32"/>
        </w:rPr>
        <w:t>需求后，交通银行</w:t>
      </w:r>
      <w:r>
        <w:rPr>
          <w:rFonts w:hint="eastAsia" w:ascii="方正仿宋_GBK" w:hAnsi="方正仿宋_GBK" w:eastAsia="方正仿宋_GBK" w:cs="方正仿宋_GBK"/>
          <w:sz w:val="32"/>
          <w:szCs w:val="32"/>
          <w:lang w:val="en-US" w:eastAsia="zh-CN"/>
        </w:rPr>
        <w:t>湖州</w:t>
      </w:r>
      <w:r>
        <w:rPr>
          <w:rFonts w:hint="eastAsia" w:ascii="方正仿宋_GBK" w:hAnsi="方正仿宋_GBK" w:eastAsia="方正仿宋_GBK" w:cs="方正仿宋_GBK"/>
          <w:sz w:val="32"/>
          <w:szCs w:val="32"/>
        </w:rPr>
        <w:t>分行</w:t>
      </w:r>
      <w:r>
        <w:rPr>
          <w:rFonts w:hint="eastAsia" w:ascii="方正仿宋_GBK" w:hAnsi="方正仿宋_GBK" w:eastAsia="方正仿宋_GBK" w:cs="方正仿宋_GBK"/>
          <w:sz w:val="32"/>
          <w:szCs w:val="32"/>
          <w:lang w:val="en-US" w:eastAsia="zh-CN"/>
        </w:rPr>
        <w:t>主动对接，积极推进：一是组建专业化柔性服务团队，开通绿色审批通道，提供贷款利率优惠，为该渔业项目提供授信额度3.5亿元。二是着力探索农业转型方案，</w:t>
      </w:r>
      <w:r>
        <w:rPr>
          <w:rFonts w:hint="eastAsia" w:ascii="方正仿宋_GBK" w:hAnsi="方正仿宋_GBK" w:eastAsia="方正仿宋_GBK" w:cs="方正仿宋_GBK"/>
          <w:sz w:val="32"/>
          <w:szCs w:val="32"/>
        </w:rPr>
        <w:t>根据农业转型金融相关标准，运用自主开发的</w:t>
      </w:r>
      <w:r>
        <w:rPr>
          <w:rFonts w:ascii="方正仿宋_GBK" w:hAnsi="方正仿宋_GBK" w:eastAsia="方正仿宋_GBK" w:cs="方正仿宋_GBK"/>
          <w:sz w:val="32"/>
          <w:szCs w:val="32"/>
        </w:rPr>
        <w:t>ESG</w:t>
      </w:r>
      <w:r>
        <w:rPr>
          <w:rFonts w:hint="eastAsia" w:ascii="方正仿宋_GBK" w:hAnsi="方正仿宋_GBK" w:eastAsia="方正仿宋_GBK" w:cs="方正仿宋_GBK"/>
          <w:sz w:val="32"/>
          <w:szCs w:val="32"/>
        </w:rPr>
        <w:t>评价系统，创新性地将项目低碳转型成效与可持续发展绩效相结合，</w:t>
      </w:r>
      <w:r>
        <w:rPr>
          <w:rFonts w:hint="eastAsia" w:ascii="方正仿宋_GBK" w:hAnsi="方正仿宋_GBK" w:eastAsia="方正仿宋_GBK" w:cs="方正仿宋_GBK"/>
          <w:sz w:val="32"/>
          <w:szCs w:val="32"/>
          <w:lang w:val="en-US" w:eastAsia="zh-CN"/>
        </w:rPr>
        <w:t>为其</w:t>
      </w:r>
      <w:r>
        <w:rPr>
          <w:rFonts w:hint="eastAsia" w:ascii="方正仿宋_GBK" w:hAnsi="方正仿宋_GBK" w:eastAsia="方正仿宋_GBK" w:cs="方正仿宋_GBK"/>
          <w:sz w:val="32"/>
          <w:szCs w:val="32"/>
        </w:rPr>
        <w:t>定制“碳强度</w:t>
      </w:r>
      <w:r>
        <w:rPr>
          <w:rFonts w:hint="eastAsia" w:ascii="方正仿宋_GBK" w:hAnsi="方正仿宋_GBK" w:eastAsia="方正仿宋_GBK" w:cs="方正仿宋_GBK"/>
          <w:color w:val="000000"/>
          <w:sz w:val="32"/>
          <w:szCs w:val="32"/>
        </w:rPr>
        <w:t>+ESG”双挂钩低碳转型金融服务方案</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三是建立</w:t>
      </w:r>
      <w:r>
        <w:rPr>
          <w:rFonts w:hint="eastAsia" w:ascii="方正仿宋_GBK" w:hAnsi="方正仿宋_GBK" w:eastAsia="方正仿宋_GBK" w:cs="方正仿宋_GBK"/>
          <w:color w:val="000000"/>
          <w:sz w:val="32"/>
          <w:szCs w:val="32"/>
        </w:rPr>
        <w:t>转型贷款利率动态调节机制</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在现行贷款利率基础上</w:t>
      </w:r>
      <w:r>
        <w:rPr>
          <w:rFonts w:hint="eastAsia" w:ascii="方正仿宋_GBK" w:hAnsi="方正仿宋_GBK" w:eastAsia="方正仿宋_GBK" w:cs="方正仿宋_GBK"/>
          <w:color w:val="000000"/>
          <w:sz w:val="32"/>
          <w:szCs w:val="32"/>
          <w:lang w:val="en-US" w:eastAsia="zh-CN"/>
        </w:rPr>
        <w:t>最高可</w:t>
      </w:r>
      <w:r>
        <w:rPr>
          <w:rFonts w:hint="eastAsia" w:ascii="方正仿宋_GBK" w:hAnsi="方正仿宋_GBK" w:eastAsia="方正仿宋_GBK" w:cs="方正仿宋_GBK"/>
          <w:color w:val="000000"/>
          <w:sz w:val="32"/>
          <w:szCs w:val="32"/>
        </w:rPr>
        <w:t>调减10BP，</w:t>
      </w:r>
      <w:r>
        <w:rPr>
          <w:rFonts w:hint="eastAsia" w:ascii="方正仿宋_GBK" w:hAnsi="方正仿宋_GBK" w:eastAsia="方正仿宋_GBK" w:cs="方正仿宋_GBK"/>
          <w:color w:val="000000"/>
          <w:sz w:val="32"/>
          <w:szCs w:val="32"/>
          <w:lang w:val="en-US" w:eastAsia="zh-CN"/>
        </w:rPr>
        <w:t>可</w:t>
      </w:r>
      <w:r>
        <w:rPr>
          <w:rFonts w:hint="eastAsia" w:ascii="方正仿宋_GBK" w:hAnsi="方正仿宋_GBK" w:eastAsia="方正仿宋_GBK" w:cs="方正仿宋_GBK"/>
          <w:color w:val="000000"/>
          <w:sz w:val="32"/>
          <w:szCs w:val="32"/>
        </w:rPr>
        <w:t>为企业节约近30万元财务成本</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 w:val="0"/>
          <w:bCs w:val="0"/>
          <w:color w:val="000000" w:themeColor="text1"/>
          <w:sz w:val="32"/>
          <w:szCs w:val="32"/>
          <w:lang w:val="en-US" w:eastAsia="zh-CN" w:bidi="ar-SA"/>
          <w14:textFill>
            <w14:solidFill>
              <w14:schemeClr w14:val="tx1"/>
            </w14:solidFill>
          </w14:textFill>
        </w:rPr>
        <w:t>激励企业加快实现低碳转型发展目标，</w:t>
      </w:r>
      <w:r>
        <w:rPr>
          <w:rFonts w:hint="eastAsia" w:ascii="方正仿宋_GBK" w:hAnsi="方正仿宋_GBK" w:eastAsia="方正仿宋_GBK" w:cs="方正仿宋_GBK"/>
          <w:color w:val="000000"/>
          <w:sz w:val="32"/>
          <w:szCs w:val="32"/>
        </w:rPr>
        <w:t>充分发挥了金融资源在经济社会全面绿色转型中的重要作用。</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kern w:val="0"/>
          <w:sz w:val="32"/>
          <w:szCs w:val="32"/>
          <w:highlight w:val="none"/>
          <w:lang w:val="en-US" w:eastAsia="zh-CN"/>
        </w:rPr>
      </w:pPr>
      <w:r>
        <w:rPr>
          <w:rFonts w:hint="eastAsia" w:ascii="方正楷体_GBK" w:hAnsi="方正楷体_GBK" w:eastAsia="方正楷体_GBK" w:cs="方正楷体_GBK"/>
          <w:b/>
          <w:bCs/>
          <w:kern w:val="0"/>
          <w:sz w:val="32"/>
          <w:szCs w:val="32"/>
          <w:highlight w:val="none"/>
          <w:lang w:val="en-US" w:eastAsia="zh-CN"/>
        </w:rPr>
        <w:t>C)推广意义：</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xml:space="preserve">“碳强度+ESG”双挂钩农业领域转型贷款将国际ESG理念与碳排放强度相结合，通过对其项目单位水产品产量碳强度指标的检测结合我行自主开发的ESG评价系统，实现对企业科学、高效的绿色低碳评价，并将碳表现作为授信管理的重要因素之一，作用于贷前、贷中、贷后各环节，以金融资源引导该企业控碳减排。该转型模式与国家推进绿色低碳发展的政策导向高度契合，是落实碳达峰、碳中和目标的重要抓手，也是助推我国农业领域绿色转型的良好创新实践。   </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黑体_GBK" w:hAnsi="方正黑体_GBK" w:eastAsia="方正黑体_GBK" w:cs="方正黑体_GBK"/>
          <w:b w:val="0"/>
          <w:bCs w:val="0"/>
          <w:i w:val="0"/>
          <w:kern w:val="0"/>
          <w:sz w:val="32"/>
          <w:szCs w:val="32"/>
        </w:rPr>
      </w:pPr>
      <w:r>
        <w:rPr>
          <w:rFonts w:hint="eastAsia" w:ascii="方正黑体_GBK" w:hAnsi="方正黑体_GBK" w:eastAsia="方正黑体_GBK" w:cs="方正黑体_GBK"/>
          <w:b w:val="0"/>
          <w:bCs w:val="0"/>
          <w:i w:val="0"/>
          <w:kern w:val="0"/>
          <w:sz w:val="32"/>
          <w:szCs w:val="32"/>
        </w:rPr>
        <w:t>1</w:t>
      </w:r>
      <w:r>
        <w:rPr>
          <w:rFonts w:hint="eastAsia" w:ascii="方正黑体_GBK" w:hAnsi="方正黑体_GBK" w:eastAsia="方正黑体_GBK" w:cs="方正黑体_GBK"/>
          <w:b w:val="0"/>
          <w:bCs w:val="0"/>
          <w:i w:val="0"/>
          <w:kern w:val="0"/>
          <w:sz w:val="32"/>
          <w:szCs w:val="32"/>
          <w:lang w:val="en-US" w:eastAsia="zh-CN"/>
        </w:rPr>
        <w:t>1.</w:t>
      </w:r>
      <w:r>
        <w:rPr>
          <w:rFonts w:hint="eastAsia" w:ascii="方正黑体_GBK" w:hAnsi="方正黑体_GBK" w:eastAsia="方正黑体_GBK" w:cs="方正黑体_GBK"/>
          <w:b w:val="0"/>
          <w:bCs w:val="0"/>
          <w:i w:val="0"/>
          <w:kern w:val="0"/>
          <w:sz w:val="32"/>
          <w:szCs w:val="32"/>
        </w:rPr>
        <w:t>其他环境相关信息</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无</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2" w:leftChars="0" w:firstLine="640" w:firstLineChars="200"/>
        <w:jc w:val="both"/>
        <w:textAlignment w:val="auto"/>
        <w:rPr>
          <w:rFonts w:hint="eastAsia" w:ascii="方正黑体_GBK" w:hAnsi="方正黑体_GBK" w:eastAsia="方正黑体_GBK" w:cs="方正黑体_GBK"/>
          <w:b w:val="0"/>
          <w:bCs w:val="0"/>
          <w:vanish w:val="0"/>
          <w:kern w:val="0"/>
          <w:sz w:val="32"/>
          <w:szCs w:val="32"/>
        </w:rPr>
      </w:pPr>
      <w:r>
        <w:rPr>
          <w:rFonts w:hint="eastAsia" w:ascii="方正黑体_GBK" w:hAnsi="方正黑体_GBK" w:eastAsia="方正黑体_GBK" w:cs="方正黑体_GBK"/>
          <w:b w:val="0"/>
          <w:bCs w:val="0"/>
          <w:i w:val="0"/>
          <w:kern w:val="0"/>
          <w:sz w:val="32"/>
          <w:szCs w:val="32"/>
        </w:rPr>
        <w:t>1</w:t>
      </w:r>
      <w:r>
        <w:rPr>
          <w:rFonts w:hint="eastAsia" w:ascii="方正黑体_GBK" w:hAnsi="方正黑体_GBK" w:eastAsia="方正黑体_GBK" w:cs="方正黑体_GBK"/>
          <w:b w:val="0"/>
          <w:bCs w:val="0"/>
          <w:i w:val="0"/>
          <w:kern w:val="0"/>
          <w:sz w:val="32"/>
          <w:szCs w:val="32"/>
          <w:lang w:val="en-US" w:eastAsia="zh-CN"/>
        </w:rPr>
        <w:t>2</w:t>
      </w:r>
      <w:r>
        <w:rPr>
          <w:rFonts w:hint="eastAsia" w:ascii="方正黑体_GBK" w:hAnsi="方正黑体_GBK" w:eastAsia="方正黑体_GBK" w:cs="方正黑体_GBK"/>
          <w:b w:val="0"/>
          <w:bCs w:val="0"/>
          <w:i w:val="0"/>
          <w:kern w:val="0"/>
          <w:sz w:val="32"/>
          <w:szCs w:val="32"/>
        </w:rPr>
        <w:t>可持续相关信息披露</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i w:val="0"/>
          <w:color w:val="auto"/>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交通银行湖州分行 ESG 评价系统是总行在浙江省分行先行先试项目。该项目基于湖州市绿色金融改革发展成果和当地政务数据支撑，通过系统自动化数据抓取和评分，建立的一个基础测评模型。ESG 评价系统综合反映了企业在环境保护、社会责任、公司治理等方面的实际表现，有效补充了我行之前以财务分析为主的客户信用评价体系。在授信全流程管理中纳入ESG评价结果的运用，将可持续相关指标作为企业财务指标外的补充，进一步丰富客户整体评价标准。制定并发文《交通银行湖州分行ESG评价系统应用实施管理办法（暂行）》，明确可持续相关风险指标（企业环境、社会和治理表现及风险管控）的合规性分析，用以评估企业整体经营风险，审慎确定授信策略。对于发生可持续风险事件，且未整改完成的，新客户不予准入，存量客户不得增加授信敞口，其中整改不力的，应采取减退加固等风险管控措施。</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i w:val="0"/>
          <w:color w:val="auto"/>
          <w:kern w:val="0"/>
          <w:sz w:val="32"/>
          <w:szCs w:val="32"/>
          <w:lang w:val="en-US" w:eastAsia="zh-CN" w:bidi="ar-SA"/>
        </w:rPr>
      </w:pPr>
      <w:r>
        <w:rPr>
          <w:rFonts w:hint="eastAsia" w:ascii="方正楷体_GBK" w:hAnsi="方正楷体_GBK" w:eastAsia="方正楷体_GBK" w:cs="方正楷体_GBK"/>
          <w:b/>
          <w:i w:val="0"/>
          <w:color w:val="auto"/>
          <w:kern w:val="0"/>
          <w:sz w:val="32"/>
          <w:szCs w:val="32"/>
          <w:lang w:val="en-US" w:eastAsia="zh-CN" w:bidi="ar-SA"/>
        </w:rPr>
        <w:t>12.1可持续相关风险机遇及其对财务状况的影响</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无财务影响定量信息，相关定性信息详见前述6.1.2气候风险对本行造成影响的传导路径。</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i w:val="0"/>
          <w:color w:val="auto"/>
          <w:kern w:val="0"/>
          <w:sz w:val="32"/>
          <w:szCs w:val="32"/>
          <w:lang w:val="en-US" w:eastAsia="zh-CN" w:bidi="ar-SA"/>
        </w:rPr>
      </w:pPr>
      <w:r>
        <w:rPr>
          <w:rFonts w:hint="eastAsia" w:ascii="方正楷体_GBK" w:hAnsi="方正楷体_GBK" w:eastAsia="方正楷体_GBK" w:cs="方正楷体_GBK"/>
          <w:b/>
          <w:i w:val="0"/>
          <w:color w:val="auto"/>
          <w:kern w:val="0"/>
          <w:sz w:val="32"/>
          <w:szCs w:val="32"/>
          <w:lang w:val="en-US" w:eastAsia="zh-CN" w:bidi="ar-SA"/>
        </w:rPr>
        <w:t>12.2可持续和气候风险情景分析或压力测试</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总行基于外部专业研究机构提供的气候耦合模式模型，预测未来急性与慢性气象灾害可能对交行重点地区、重点行业资产质量造成的影响。其中，根据洪涝、台风等急性气象灾害的发生频率和发生强度，结合物理风险敏感性资产的地理坐标分布，开发物理风险预警模型。对农业、水力发电等 行业开展气候蠕变影响研究；对房地产业、交通运输业开展急性气象灾害间接损失影响研究。结果显示，相关风险对本行影响有限。</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方正楷体_GBK" w:hAnsi="方正楷体_GBK" w:eastAsia="方正楷体_GBK" w:cs="方正楷体_GBK"/>
          <w:b/>
          <w:i w:val="0"/>
          <w:color w:val="auto"/>
          <w:kern w:val="0"/>
          <w:sz w:val="32"/>
          <w:szCs w:val="32"/>
          <w:lang w:val="en-US" w:eastAsia="zh-CN" w:bidi="ar-SA"/>
        </w:rPr>
      </w:pPr>
      <w:r>
        <w:rPr>
          <w:rFonts w:hint="eastAsia" w:ascii="方正楷体_GBK" w:hAnsi="方正楷体_GBK" w:eastAsia="方正楷体_GBK" w:cs="方正楷体_GBK"/>
          <w:b/>
          <w:i w:val="0"/>
          <w:color w:val="auto"/>
          <w:kern w:val="0"/>
          <w:sz w:val="32"/>
          <w:szCs w:val="32"/>
          <w:lang w:val="en-US" w:eastAsia="zh-CN" w:bidi="ar-SA"/>
        </w:rPr>
        <w:t>12.3可持续和气候相关指标</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分行“碳中和”一星级网点德清支行在2024年1月1日－2024年12月31日期间的组织边界和运营边界内范围1、范围2、范围3温室气体排放及碳中和情况披露如下：</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482" w:firstLineChars="200"/>
        <w:jc w:val="center"/>
        <w:textAlignment w:val="auto"/>
        <w:rPr>
          <w:rFonts w:hint="eastAsia" w:ascii="方正仿宋_GBK" w:hAnsi="方正仿宋_GBK" w:eastAsia="方正仿宋_GBK" w:cs="方正仿宋_GBK"/>
          <w:kern w:val="0"/>
          <w:sz w:val="32"/>
          <w:szCs w:val="32"/>
          <w:lang w:val="en-US" w:eastAsia="zh-CN"/>
        </w:rPr>
      </w:pPr>
      <w:r>
        <w:rPr>
          <w:rFonts w:hint="eastAsia" w:ascii="宋体" w:hAnsi="Calibri" w:eastAsia="宋体" w:cs="Times New Roman"/>
          <w:b/>
          <w:color w:val="auto"/>
          <w:szCs w:val="22"/>
          <w:u w:val="none" w:color="auto"/>
          <w:lang w:val="en-US" w:eastAsia="zh-CN"/>
        </w:rPr>
        <w:t>德清支行</w:t>
      </w:r>
      <w:r>
        <w:rPr>
          <w:rFonts w:hint="eastAsia" w:ascii="宋体" w:hAnsi="Calibri" w:eastAsia="宋体" w:cs="Times New Roman"/>
          <w:b/>
          <w:color w:val="auto"/>
          <w:szCs w:val="22"/>
          <w:u w:val="none" w:color="auto"/>
          <w:lang w:val="zh-TW" w:eastAsia="zh-TW"/>
        </w:rPr>
        <w:t>经营活动对环境产生的影响</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0"/>
        <w:gridCol w:w="4144"/>
        <w:gridCol w:w="975"/>
        <w:gridCol w:w="728"/>
        <w:gridCol w:w="976"/>
        <w:gridCol w:w="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i w:val="0"/>
                <w:iCs w:val="0"/>
                <w:color w:val="000000"/>
                <w:sz w:val="22"/>
                <w:szCs w:val="22"/>
                <w:u w:val="none"/>
              </w:rPr>
            </w:pPr>
          </w:p>
        </w:tc>
        <w:tc>
          <w:tcPr>
            <w:tcW w:w="4435"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范围一：直接排放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i w:val="0"/>
                <w:iCs w:val="0"/>
                <w:color w:val="000000"/>
                <w:sz w:val="22"/>
                <w:szCs w:val="22"/>
                <w:u w:val="none"/>
              </w:rPr>
            </w:pP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能源资源类别</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消耗量</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排放量</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Style w:val="37"/>
                <w:lang w:val="en-US" w:eastAsia="zh-CN" w:bidi="ar"/>
              </w:rPr>
              <w:t>柴油</w:t>
            </w:r>
            <w:r>
              <w:rPr>
                <w:rFonts w:hint="default" w:ascii="Times New Roman" w:hAnsi="Times New Roman" w:eastAsia="宋体" w:cs="Times New Roman"/>
                <w:i w:val="0"/>
                <w:iCs w:val="0"/>
                <w:color w:val="000000"/>
                <w:kern w:val="0"/>
                <w:sz w:val="22"/>
                <w:szCs w:val="22"/>
                <w:u w:val="none"/>
                <w:lang w:val="en-US" w:eastAsia="zh-CN" w:bidi="ar"/>
              </w:rPr>
              <w:t>-</w:t>
            </w:r>
            <w:r>
              <w:rPr>
                <w:rStyle w:val="37"/>
                <w:lang w:val="en-US" w:eastAsia="zh-CN" w:bidi="ar"/>
              </w:rPr>
              <w:t>发电机组</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color w:val="000000"/>
                <w:sz w:val="22"/>
                <w:szCs w:val="22"/>
                <w:lang w:val="en-US" w:eastAsia="zh-CN"/>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color w:val="000000"/>
                <w:sz w:val="22"/>
                <w:szCs w:val="22"/>
                <w:lang w:val="en-US" w:eastAsia="zh-CN"/>
              </w:rPr>
              <w:t>/</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Style w:val="37"/>
                <w:lang w:val="en-US" w:eastAsia="zh-CN" w:bidi="ar"/>
              </w:rPr>
              <w:t>柴油</w:t>
            </w:r>
            <w:r>
              <w:rPr>
                <w:rFonts w:hint="default" w:ascii="Times New Roman" w:hAnsi="Times New Roman" w:eastAsia="宋体" w:cs="Times New Roman"/>
                <w:i w:val="0"/>
                <w:iCs w:val="0"/>
                <w:color w:val="000000"/>
                <w:kern w:val="0"/>
                <w:sz w:val="22"/>
                <w:szCs w:val="22"/>
                <w:u w:val="none"/>
                <w:lang w:val="en-US" w:eastAsia="zh-CN" w:bidi="ar"/>
              </w:rPr>
              <w:t>-</w:t>
            </w:r>
            <w:r>
              <w:rPr>
                <w:rStyle w:val="37"/>
                <w:lang w:val="en-US" w:eastAsia="zh-CN" w:bidi="ar"/>
              </w:rPr>
              <w:t>食堂</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lang w:val="en-US"/>
              </w:rPr>
            </w:pPr>
            <w:r>
              <w:rPr>
                <w:rFonts w:hint="eastAsia"/>
                <w:color w:val="000000"/>
                <w:sz w:val="22"/>
                <w:szCs w:val="22"/>
                <w:lang w:val="en-US" w:eastAsia="zh-CN"/>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eastAsia"/>
                <w:color w:val="000000"/>
                <w:sz w:val="22"/>
                <w:szCs w:val="22"/>
                <w:lang w:val="en-US" w:eastAsia="zh-CN"/>
              </w:rPr>
              <w:t>/</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液化石油气-食堂</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eastAsia"/>
                <w:color w:val="000000"/>
                <w:sz w:val="22"/>
                <w:szCs w:val="22"/>
                <w:lang w:val="en-US" w:eastAsia="zh-CN"/>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eastAsia"/>
                <w:color w:val="000000"/>
                <w:sz w:val="22"/>
                <w:szCs w:val="22"/>
                <w:lang w:val="en-US" w:eastAsia="zh-CN"/>
              </w:rPr>
              <w:t>/</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Style w:val="37"/>
                <w:lang w:val="en-US" w:eastAsia="zh-CN" w:bidi="ar"/>
              </w:rPr>
              <w:t>汽油</w:t>
            </w:r>
            <w:r>
              <w:rPr>
                <w:rFonts w:hint="default" w:ascii="Times New Roman" w:hAnsi="Times New Roman" w:eastAsia="宋体" w:cs="Times New Roman"/>
                <w:i w:val="0"/>
                <w:iCs w:val="0"/>
                <w:color w:val="000000"/>
                <w:kern w:val="0"/>
                <w:sz w:val="22"/>
                <w:szCs w:val="22"/>
                <w:u w:val="none"/>
                <w:lang w:val="en-US" w:eastAsia="zh-CN" w:bidi="ar"/>
              </w:rPr>
              <w:t>-</w:t>
            </w:r>
            <w:r>
              <w:rPr>
                <w:rStyle w:val="37"/>
                <w:lang w:val="en-US" w:eastAsia="zh-CN" w:bidi="ar"/>
              </w:rPr>
              <w:t>公务用车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eastAsia"/>
                <w:color w:val="000000"/>
                <w:sz w:val="22"/>
                <w:szCs w:val="22"/>
                <w:lang w:val="en-US" w:eastAsia="zh-CN"/>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eastAsia"/>
                <w:color w:val="000000"/>
                <w:sz w:val="22"/>
                <w:szCs w:val="22"/>
                <w:lang w:val="en-US" w:eastAsia="zh-CN"/>
              </w:rPr>
              <w:t>/</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Style w:val="37"/>
                <w:lang w:val="en-US" w:eastAsia="zh-CN" w:bidi="ar"/>
              </w:rPr>
              <w:t>空调制冷剂</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eastAsia"/>
                <w:color w:val="000000"/>
                <w:sz w:val="22"/>
                <w:szCs w:val="22"/>
                <w:lang w:val="en-US" w:eastAsia="zh-CN"/>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eastAsia"/>
                <w:color w:val="000000"/>
                <w:sz w:val="22"/>
                <w:szCs w:val="22"/>
                <w:lang w:val="en-US" w:eastAsia="zh-CN"/>
              </w:rPr>
              <w:t>/</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i w:val="0"/>
                <w:iCs w:val="0"/>
                <w:color w:val="000000"/>
                <w:sz w:val="22"/>
                <w:szCs w:val="22"/>
                <w:u w:val="none"/>
              </w:rPr>
            </w:pP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Style w:val="37"/>
                <w:lang w:val="en-US" w:eastAsia="zh-CN" w:bidi="ar"/>
              </w:rPr>
              <w:t>小计</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i w:val="0"/>
                <w:iCs w:val="0"/>
                <w:color w:val="000000"/>
                <w:sz w:val="22"/>
                <w:szCs w:val="22"/>
                <w:u w:val="none"/>
              </w:rPr>
            </w:pPr>
          </w:p>
        </w:tc>
        <w:tc>
          <w:tcPr>
            <w:tcW w:w="4435"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范围二：间接排放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i w:val="0"/>
                <w:iCs w:val="0"/>
                <w:color w:val="000000"/>
                <w:sz w:val="22"/>
                <w:szCs w:val="22"/>
                <w:u w:val="none"/>
              </w:rPr>
            </w:pP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能源资源类别</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消耗量</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排放量</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净购入使用电力</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auto"/>
                <w:kern w:val="2"/>
                <w:sz w:val="22"/>
                <w:szCs w:val="22"/>
                <w:lang w:val="en-US" w:eastAsia="zh-CN" w:bidi="ar-SA"/>
              </w:rPr>
            </w:pPr>
            <w:r>
              <w:rPr>
                <w:rFonts w:hint="eastAsia"/>
                <w:color w:val="auto"/>
                <w:sz w:val="22"/>
                <w:szCs w:val="22"/>
                <w:lang w:val="en-US" w:eastAsia="zh-CN"/>
              </w:rPr>
              <w:t>194226</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heme="minorHAnsi" w:hAnsiTheme="minorHAnsi" w:eastAsiaTheme="minorEastAsia" w:cstheme="minorBidi"/>
                <w:color w:val="auto"/>
                <w:kern w:val="2"/>
                <w:sz w:val="22"/>
                <w:szCs w:val="22"/>
                <w:lang w:val="en-US" w:eastAsia="zh-CN" w:bidi="ar-SA"/>
              </w:rPr>
            </w:pPr>
            <w:r>
              <w:rPr>
                <w:color w:val="auto"/>
                <w:kern w:val="0"/>
                <w:sz w:val="22"/>
                <w:szCs w:val="22"/>
              </w:rPr>
              <w:t>kWh</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auto"/>
                <w:kern w:val="2"/>
                <w:sz w:val="22"/>
                <w:szCs w:val="22"/>
                <w:lang w:val="en-US" w:eastAsia="zh-CN" w:bidi="ar-SA"/>
              </w:rPr>
            </w:pPr>
            <w:r>
              <w:rPr>
                <w:rFonts w:hint="eastAsia" w:eastAsia="宋体"/>
                <w:color w:val="auto"/>
                <w:sz w:val="22"/>
                <w:szCs w:val="22"/>
                <w:lang w:val="en-US" w:eastAsia="zh-CN"/>
              </w:rPr>
              <w:t>101.88</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净购入使用热力</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GJ</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i w:val="0"/>
                <w:iCs w:val="0"/>
                <w:color w:val="000000"/>
                <w:sz w:val="22"/>
                <w:szCs w:val="22"/>
                <w:u w:val="none"/>
              </w:rPr>
            </w:pP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eastAsia" w:eastAsia="宋体"/>
                <w:color w:val="auto"/>
                <w:sz w:val="22"/>
                <w:szCs w:val="22"/>
                <w:lang w:val="en-US" w:eastAsia="zh-CN"/>
              </w:rPr>
              <w:t>101.88</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i w:val="0"/>
                <w:iCs w:val="0"/>
                <w:color w:val="000000"/>
                <w:sz w:val="22"/>
                <w:szCs w:val="22"/>
                <w:u w:val="none"/>
              </w:rPr>
            </w:pPr>
          </w:p>
        </w:tc>
        <w:tc>
          <w:tcPr>
            <w:tcW w:w="4435"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范围三：其他间接排放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i w:val="0"/>
                <w:iCs w:val="0"/>
                <w:color w:val="000000"/>
                <w:sz w:val="22"/>
                <w:szCs w:val="22"/>
                <w:u w:val="none"/>
              </w:rPr>
            </w:pP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能源资源类别</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数据</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排放量</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外包运输（柴油）每天的单程里程数</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cs="Times New Roman" w:asciiTheme="minorHAnsi" w:hAnsiTheme="minorHAnsi"/>
                <w:color w:val="000000"/>
                <w:kern w:val="2"/>
                <w:sz w:val="22"/>
                <w:szCs w:val="22"/>
                <w:lang w:val="en-US" w:eastAsia="zh-CN" w:bidi="ar-SA"/>
              </w:rPr>
            </w:pPr>
            <w:r>
              <w:rPr>
                <w:rFonts w:hint="eastAsia" w:eastAsia="宋体" w:cs="Times New Roman"/>
                <w:color w:val="000000"/>
                <w:sz w:val="22"/>
                <w:szCs w:val="22"/>
                <w:lang w:val="en-US" w:eastAsia="zh-CN"/>
              </w:rPr>
              <w:t>14352</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km</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cs="Times New Roman" w:asciiTheme="minorHAnsi" w:hAnsiTheme="minorHAnsi"/>
                <w:color w:val="000000"/>
                <w:kern w:val="2"/>
                <w:sz w:val="22"/>
                <w:szCs w:val="22"/>
                <w:lang w:val="en-US" w:eastAsia="zh-CN" w:bidi="ar-SA"/>
              </w:rPr>
            </w:pPr>
            <w:r>
              <w:rPr>
                <w:rFonts w:hint="eastAsia" w:eastAsia="宋体" w:cs="Times New Roman"/>
                <w:color w:val="000000"/>
                <w:sz w:val="22"/>
                <w:szCs w:val="22"/>
                <w:lang w:val="en-US" w:eastAsia="zh-CN"/>
              </w:rPr>
              <w:t>3.82</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员工通勤里程-公交车(单程）</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16056</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km</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0.55</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员工通勤里程-电动自行车(单程）</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color w:val="000000"/>
                <w:sz w:val="22"/>
                <w:szCs w:val="22"/>
                <w:lang w:val="en-US" w:eastAsia="zh-CN"/>
              </w:rPr>
              <w:t>1750</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km</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0.02</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员工通勤里程-电动汽车(单程）</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color w:val="000000"/>
                <w:sz w:val="22"/>
                <w:szCs w:val="22"/>
                <w:lang w:val="en-US" w:eastAsia="zh-CN"/>
              </w:rPr>
              <w:t>5633</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km</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0.53</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员工通勤里程-汽油车(单程）</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color w:val="000000"/>
                <w:sz w:val="22"/>
                <w:szCs w:val="22"/>
                <w:lang w:val="en-US" w:eastAsia="zh-CN"/>
              </w:rPr>
              <w:t>1260</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km</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0.27</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员工差旅（火车）年总里程</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1890</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km</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0.04</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员工差旅（飞机）年总里程</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2523</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km</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0.21</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办公用纸处理量</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32.1</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0.06</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餐厨垃圾处理量</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其他垃圾处理量</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1265</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0.44</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i w:val="0"/>
                <w:iCs w:val="0"/>
                <w:color w:val="000000"/>
                <w:sz w:val="22"/>
                <w:szCs w:val="22"/>
                <w:u w:val="none"/>
              </w:rPr>
            </w:pP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5.94</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i w:val="0"/>
                <w:iCs w:val="0"/>
                <w:color w:val="000000"/>
                <w:sz w:val="22"/>
                <w:szCs w:val="22"/>
                <w:u w:val="none"/>
              </w:rPr>
            </w:pP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温室气体排放量合计</w:t>
            </w:r>
          </w:p>
        </w:tc>
        <w:tc>
          <w:tcPr>
            <w:tcW w:w="157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lang w:val="en-US"/>
              </w:rPr>
            </w:pPr>
            <w:r>
              <w:rPr>
                <w:rFonts w:hint="eastAsia" w:eastAsia="宋体"/>
                <w:color w:val="000000"/>
                <w:sz w:val="22"/>
                <w:szCs w:val="22"/>
                <w:lang w:val="en-US" w:eastAsia="zh-CN"/>
              </w:rPr>
              <w:t>107.82</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bl>
    <w:p>
      <w:pPr>
        <w:pStyle w:val="28"/>
        <w:keepNext w:val="0"/>
        <w:keepLines w:val="0"/>
        <w:pageBreakBefore w:val="0"/>
        <w:tabs>
          <w:tab w:val="left" w:pos="949"/>
        </w:tabs>
        <w:kinsoku/>
        <w:wordWrap/>
        <w:overflowPunct/>
        <w:topLinePunct w:val="0"/>
        <w:bidi w:val="0"/>
        <w:adjustRightInd/>
        <w:snapToGrid/>
        <w:spacing w:line="460" w:lineRule="exact"/>
        <w:jc w:val="center"/>
        <w:rPr>
          <w:rFonts w:hint="eastAsia" w:ascii="宋体" w:hAnsi="Calibri" w:eastAsia="宋体" w:cs="Times New Roman"/>
          <w:b/>
          <w:color w:val="auto"/>
          <w:szCs w:val="22"/>
          <w:u w:val="none" w:color="auto"/>
          <w:lang w:val="zh-TW"/>
        </w:rPr>
      </w:pPr>
      <w:r>
        <w:rPr>
          <w:rFonts w:hint="eastAsia" w:ascii="宋体" w:hAnsi="Calibri" w:eastAsia="宋体" w:cs="Times New Roman"/>
          <w:b/>
          <w:color w:val="auto"/>
          <w:szCs w:val="22"/>
          <w:u w:val="none" w:color="auto"/>
          <w:lang w:val="en-US" w:eastAsia="zh-CN"/>
        </w:rPr>
        <w:t>德清支行</w:t>
      </w:r>
      <w:r>
        <w:rPr>
          <w:rFonts w:hint="eastAsia" w:ascii="宋体" w:hAnsi="Calibri" w:eastAsia="宋体" w:cs="Times New Roman"/>
          <w:b/>
          <w:color w:val="auto"/>
          <w:szCs w:val="22"/>
          <w:u w:val="none" w:color="auto"/>
          <w:lang w:val="zh-TW" w:eastAsia="zh-TW"/>
        </w:rPr>
        <w:t>经营活动</w:t>
      </w:r>
      <w:r>
        <w:rPr>
          <w:rFonts w:hint="eastAsia" w:ascii="宋体" w:hAnsi="Calibri" w:eastAsia="宋体" w:cs="Times New Roman"/>
          <w:b/>
          <w:color w:val="auto"/>
          <w:szCs w:val="22"/>
          <w:u w:val="none" w:color="auto"/>
          <w:lang w:val="zh-TW" w:eastAsia="zh-CN"/>
        </w:rPr>
        <w:t>的碳减排措施</w:t>
      </w:r>
    </w:p>
    <w:tbl>
      <w:tblPr>
        <w:tblStyle w:val="2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17"/>
        <w:gridCol w:w="2306"/>
        <w:gridCol w:w="2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4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绿电交易降碳情况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4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累计绿电使用量（kwh）</w:t>
            </w:r>
          </w:p>
        </w:tc>
        <w:tc>
          <w:tcPr>
            <w:tcW w:w="13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4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节约标煤（吨）</w:t>
            </w:r>
          </w:p>
        </w:tc>
        <w:tc>
          <w:tcPr>
            <w:tcW w:w="16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4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二氧化碳减排（吨）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4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olor w:val="auto"/>
                <w:sz w:val="22"/>
                <w:szCs w:val="22"/>
                <w:lang w:val="en-US" w:eastAsia="zh-CN"/>
              </w:rPr>
              <w:t>89577（2024.7-12月）</w:t>
            </w:r>
          </w:p>
        </w:tc>
        <w:tc>
          <w:tcPr>
            <w:tcW w:w="13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4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27.32</w:t>
            </w:r>
          </w:p>
        </w:tc>
        <w:tc>
          <w:tcPr>
            <w:tcW w:w="16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4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72.11</w:t>
            </w:r>
          </w:p>
        </w:tc>
      </w:tr>
    </w:tbl>
    <w:p>
      <w:pPr>
        <w:pStyle w:val="29"/>
        <w:keepNext w:val="0"/>
        <w:keepLines w:val="0"/>
        <w:pageBreakBefore w:val="0"/>
        <w:numPr>
          <w:ilvl w:val="0"/>
          <w:numId w:val="0"/>
        </w:numPr>
        <w:kinsoku/>
        <w:wordWrap/>
        <w:overflowPunct/>
        <w:topLinePunct w:val="0"/>
        <w:bidi w:val="0"/>
        <w:adjustRightInd/>
        <w:snapToGrid/>
        <w:spacing w:line="460" w:lineRule="exact"/>
        <w:ind w:left="0" w:leftChars="0" w:right="0" w:rightChars="0"/>
        <w:textAlignment w:val="auto"/>
        <w:rPr>
          <w:rFonts w:hint="eastAsia" w:ascii="仿宋_GB2312" w:hAnsi="仿宋_GB2312" w:eastAsia="仿宋_GB2312" w:cs="仿宋_GB2312"/>
          <w:b/>
          <w:kern w:val="2"/>
          <w:sz w:val="32"/>
          <w:szCs w:val="32"/>
          <w:u w:val="none" w:color="000000"/>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decorative"/>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3C0041" w:csb1="A0080000"/>
  </w:font>
  <w:font w:name="Verdana">
    <w:panose1 w:val="020B0604030504040204"/>
    <w:charset w:val="00"/>
    <w:family w:val="auto"/>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3C0041" w:csb1="A0080000"/>
  </w:font>
  <w:font w:name="方正楷体_GBK">
    <w:panose1 w:val="03000509000000000000"/>
    <w:charset w:val="86"/>
    <w:family w:val="auto"/>
    <w:pitch w:val="default"/>
    <w:sig w:usb0="00000001" w:usb1="080E0000" w:usb2="00000000" w:usb3="00000000" w:csb0="003C0041" w:csb1="A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3"/>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2"/>
      <w:suff w:val="nothing"/>
      <w:lvlText w:val="%1.%2.%3　"/>
      <w:lvlJc w:val="left"/>
      <w:pPr>
        <w:ind w:left="3828" w:firstLine="0"/>
      </w:pPr>
      <w:rPr>
        <w:rFonts w:hint="eastAsia" w:ascii="黑体" w:hAnsi="Times New Roman" w:eastAsia="黑体"/>
        <w:b w:val="0"/>
        <w:i w:val="0"/>
        <w:sz w:val="21"/>
        <w:lang w:eastAsia="zh-TW"/>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EDA2AAD"/>
    <w:multiLevelType w:val="singleLevel"/>
    <w:tmpl w:val="5EDA2AAD"/>
    <w:lvl w:ilvl="0" w:tentative="0">
      <w:start w:val="1"/>
      <w:numFmt w:val="decimal"/>
      <w:suff w:val="nothing"/>
      <w:lvlText w:val="%1．"/>
      <w:lvlJc w:val="left"/>
      <w:pPr>
        <w:ind w:left="0" w:firstLine="400"/>
      </w:pPr>
      <w:rPr>
        <w:rFonts w:hint="default"/>
        <w:b w:val="0"/>
        <w:bCs w:val="0"/>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D24A8A"/>
    <w:rsid w:val="01FE3350"/>
    <w:rsid w:val="022436F4"/>
    <w:rsid w:val="02624C06"/>
    <w:rsid w:val="028F0C1E"/>
    <w:rsid w:val="03C52CBC"/>
    <w:rsid w:val="048B12E3"/>
    <w:rsid w:val="049A781C"/>
    <w:rsid w:val="04EA08A0"/>
    <w:rsid w:val="081C39F5"/>
    <w:rsid w:val="08456F9D"/>
    <w:rsid w:val="08506633"/>
    <w:rsid w:val="086D71B6"/>
    <w:rsid w:val="08E868D5"/>
    <w:rsid w:val="08F26436"/>
    <w:rsid w:val="09E4747B"/>
    <w:rsid w:val="0CB3403E"/>
    <w:rsid w:val="0CEC69C1"/>
    <w:rsid w:val="0E0E7D9E"/>
    <w:rsid w:val="0EC86FE5"/>
    <w:rsid w:val="0F5F76BA"/>
    <w:rsid w:val="0FCF6738"/>
    <w:rsid w:val="104C4DC9"/>
    <w:rsid w:val="11067A7B"/>
    <w:rsid w:val="11DC45DB"/>
    <w:rsid w:val="125F4039"/>
    <w:rsid w:val="127021C1"/>
    <w:rsid w:val="128E220E"/>
    <w:rsid w:val="1458496F"/>
    <w:rsid w:val="14B0757C"/>
    <w:rsid w:val="14E909DB"/>
    <w:rsid w:val="15B40AF3"/>
    <w:rsid w:val="15B75BB0"/>
    <w:rsid w:val="1676320E"/>
    <w:rsid w:val="18F356E0"/>
    <w:rsid w:val="19412BFE"/>
    <w:rsid w:val="19AC44AC"/>
    <w:rsid w:val="1A6D29EB"/>
    <w:rsid w:val="1AA13ABF"/>
    <w:rsid w:val="1C1F1D32"/>
    <w:rsid w:val="1D7070B1"/>
    <w:rsid w:val="1DE86D9F"/>
    <w:rsid w:val="1DEA6A1F"/>
    <w:rsid w:val="1FB52813"/>
    <w:rsid w:val="211B6E8B"/>
    <w:rsid w:val="21C173F0"/>
    <w:rsid w:val="230F1236"/>
    <w:rsid w:val="23791026"/>
    <w:rsid w:val="23B2431C"/>
    <w:rsid w:val="245D6491"/>
    <w:rsid w:val="2488378E"/>
    <w:rsid w:val="249B429A"/>
    <w:rsid w:val="24A75673"/>
    <w:rsid w:val="24E25D13"/>
    <w:rsid w:val="255941D2"/>
    <w:rsid w:val="25636D2B"/>
    <w:rsid w:val="258D4189"/>
    <w:rsid w:val="26D20A42"/>
    <w:rsid w:val="274A6102"/>
    <w:rsid w:val="27E54BA6"/>
    <w:rsid w:val="282B217D"/>
    <w:rsid w:val="2A4D122B"/>
    <w:rsid w:val="2AAC548F"/>
    <w:rsid w:val="2B9A259A"/>
    <w:rsid w:val="2B9D3E9D"/>
    <w:rsid w:val="2BA7222F"/>
    <w:rsid w:val="2BCE686B"/>
    <w:rsid w:val="2C5867CF"/>
    <w:rsid w:val="2E8A57EA"/>
    <w:rsid w:val="2ED40500"/>
    <w:rsid w:val="2F4B4BFC"/>
    <w:rsid w:val="2F661005"/>
    <w:rsid w:val="2F6F15C3"/>
    <w:rsid w:val="2FA45737"/>
    <w:rsid w:val="2FCF47FC"/>
    <w:rsid w:val="30E1593E"/>
    <w:rsid w:val="31863ECE"/>
    <w:rsid w:val="31C64CB7"/>
    <w:rsid w:val="32981E0B"/>
    <w:rsid w:val="33767B88"/>
    <w:rsid w:val="33803732"/>
    <w:rsid w:val="361F6B5B"/>
    <w:rsid w:val="36DE11AE"/>
    <w:rsid w:val="36E31802"/>
    <w:rsid w:val="37320B59"/>
    <w:rsid w:val="38910B5D"/>
    <w:rsid w:val="38D56FA5"/>
    <w:rsid w:val="391B523E"/>
    <w:rsid w:val="39856E6C"/>
    <w:rsid w:val="39957106"/>
    <w:rsid w:val="39CC17DF"/>
    <w:rsid w:val="3A1A0893"/>
    <w:rsid w:val="3B8A295F"/>
    <w:rsid w:val="3BA62369"/>
    <w:rsid w:val="3C7B6ECA"/>
    <w:rsid w:val="3CC73AC6"/>
    <w:rsid w:val="3D1F1AD2"/>
    <w:rsid w:val="3E1C2D73"/>
    <w:rsid w:val="3F0228F1"/>
    <w:rsid w:val="3FC91B34"/>
    <w:rsid w:val="41516138"/>
    <w:rsid w:val="41876612"/>
    <w:rsid w:val="41E303E1"/>
    <w:rsid w:val="43137FB9"/>
    <w:rsid w:val="433C6F5D"/>
    <w:rsid w:val="43BD387E"/>
    <w:rsid w:val="43CC2FC9"/>
    <w:rsid w:val="440F4D37"/>
    <w:rsid w:val="44556FAE"/>
    <w:rsid w:val="44626530"/>
    <w:rsid w:val="44A01316"/>
    <w:rsid w:val="453B2DB9"/>
    <w:rsid w:val="456552E9"/>
    <w:rsid w:val="45801BAA"/>
    <w:rsid w:val="45E83A36"/>
    <w:rsid w:val="47213040"/>
    <w:rsid w:val="47672775"/>
    <w:rsid w:val="4809333E"/>
    <w:rsid w:val="49250FE7"/>
    <w:rsid w:val="4AA50448"/>
    <w:rsid w:val="4ACA50C0"/>
    <w:rsid w:val="4D175F8A"/>
    <w:rsid w:val="4E2C16EC"/>
    <w:rsid w:val="4E4B63FB"/>
    <w:rsid w:val="4EAF2313"/>
    <w:rsid w:val="4ECA13AB"/>
    <w:rsid w:val="4F035942"/>
    <w:rsid w:val="4FBF09D6"/>
    <w:rsid w:val="50775ED9"/>
    <w:rsid w:val="508A5182"/>
    <w:rsid w:val="50BC3801"/>
    <w:rsid w:val="50DB62B4"/>
    <w:rsid w:val="518F4E5F"/>
    <w:rsid w:val="52470D8A"/>
    <w:rsid w:val="53240D8B"/>
    <w:rsid w:val="54100C7C"/>
    <w:rsid w:val="5492684D"/>
    <w:rsid w:val="55652166"/>
    <w:rsid w:val="576B3136"/>
    <w:rsid w:val="579519A9"/>
    <w:rsid w:val="57E11A08"/>
    <w:rsid w:val="589B3CED"/>
    <w:rsid w:val="58BB5103"/>
    <w:rsid w:val="5A7F4E5F"/>
    <w:rsid w:val="5AF848DA"/>
    <w:rsid w:val="5B455E49"/>
    <w:rsid w:val="5C45126F"/>
    <w:rsid w:val="5C546D2B"/>
    <w:rsid w:val="5D513956"/>
    <w:rsid w:val="5EF57055"/>
    <w:rsid w:val="5FE90CC6"/>
    <w:rsid w:val="60132D1D"/>
    <w:rsid w:val="60763505"/>
    <w:rsid w:val="60A93A22"/>
    <w:rsid w:val="617402F5"/>
    <w:rsid w:val="618D7518"/>
    <w:rsid w:val="619501A8"/>
    <w:rsid w:val="61F6239A"/>
    <w:rsid w:val="63065CD5"/>
    <w:rsid w:val="63806A4E"/>
    <w:rsid w:val="64052D47"/>
    <w:rsid w:val="65CF5F90"/>
    <w:rsid w:val="661F3D67"/>
    <w:rsid w:val="663569DC"/>
    <w:rsid w:val="665A6032"/>
    <w:rsid w:val="66716DA1"/>
    <w:rsid w:val="675D6CD3"/>
    <w:rsid w:val="67EF1790"/>
    <w:rsid w:val="68B60407"/>
    <w:rsid w:val="6A4A15B4"/>
    <w:rsid w:val="6A7C7221"/>
    <w:rsid w:val="6AEB1890"/>
    <w:rsid w:val="6C0E238C"/>
    <w:rsid w:val="6CAF20DF"/>
    <w:rsid w:val="6CC354FC"/>
    <w:rsid w:val="6D98205C"/>
    <w:rsid w:val="6DE333D5"/>
    <w:rsid w:val="6E537FDF"/>
    <w:rsid w:val="6E624FA8"/>
    <w:rsid w:val="72D850F7"/>
    <w:rsid w:val="737F240C"/>
    <w:rsid w:val="74335733"/>
    <w:rsid w:val="75244935"/>
    <w:rsid w:val="75C9240E"/>
    <w:rsid w:val="76A9613C"/>
    <w:rsid w:val="77432AB8"/>
    <w:rsid w:val="77866A24"/>
    <w:rsid w:val="7875135D"/>
    <w:rsid w:val="7882767D"/>
    <w:rsid w:val="79132D33"/>
    <w:rsid w:val="79294ED6"/>
    <w:rsid w:val="79C54D55"/>
    <w:rsid w:val="7A0138B5"/>
    <w:rsid w:val="7A4876CA"/>
    <w:rsid w:val="7A4A69B7"/>
    <w:rsid w:val="7A733C6A"/>
    <w:rsid w:val="7A754BE2"/>
    <w:rsid w:val="7A800002"/>
    <w:rsid w:val="7AF4644B"/>
    <w:rsid w:val="7BAA3C71"/>
    <w:rsid w:val="7BF51650"/>
    <w:rsid w:val="7C086FC1"/>
    <w:rsid w:val="7D4B3A6A"/>
    <w:rsid w:val="7E6D4779"/>
    <w:rsid w:val="7E83525C"/>
    <w:rsid w:val="7F6D458E"/>
    <w:rsid w:val="7F9F1EEC"/>
    <w:rsid w:val="7FA72C22"/>
    <w:rsid w:val="7FFE16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tabs>
        <w:tab w:val="left" w:pos="949"/>
      </w:tabs>
      <w:spacing w:line="560" w:lineRule="exact"/>
      <w:ind w:firstLine="200" w:firstLineChars="200"/>
      <w:outlineLvl w:val="0"/>
    </w:pPr>
    <w:rPr>
      <w:rFonts w:ascii="黑体" w:hAnsi="黑体" w:eastAsia="黑体" w:cs="Times New Roman"/>
      <w:color w:val="auto"/>
      <w:sz w:val="32"/>
      <w:szCs w:val="32"/>
      <w:lang w:val="zh-TW"/>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customStyle="1" w:styleId="4">
    <w:name w:val="0"/>
    <w:basedOn w:val="1"/>
    <w:qFormat/>
    <w:uiPriority w:val="0"/>
    <w:pPr>
      <w:widowControl/>
      <w:snapToGrid w:val="0"/>
    </w:pPr>
    <w:rPr>
      <w:rFonts w:eastAsia="仿宋_GB2312"/>
      <w:kern w:val="0"/>
      <w:sz w:val="32"/>
      <w:szCs w:val="21"/>
    </w:rPr>
  </w:style>
  <w:style w:type="paragraph" w:styleId="6">
    <w:name w:val="toc 7"/>
    <w:basedOn w:val="1"/>
    <w:next w:val="1"/>
    <w:qFormat/>
    <w:uiPriority w:val="0"/>
    <w:pPr>
      <w:ind w:left="2520" w:leftChars="1200"/>
    </w:pPr>
  </w:style>
  <w:style w:type="paragraph" w:styleId="7">
    <w:name w:val="annotation text"/>
    <w:basedOn w:val="1"/>
    <w:qFormat/>
    <w:uiPriority w:val="0"/>
    <w:pPr>
      <w:jc w:val="left"/>
    </w:pPr>
  </w:style>
  <w:style w:type="paragraph" w:styleId="8">
    <w:name w:val="Body Text"/>
    <w:basedOn w:val="1"/>
    <w:next w:val="3"/>
    <w:qFormat/>
    <w:uiPriority w:val="99"/>
    <w:pPr>
      <w:spacing w:line="360" w:lineRule="auto"/>
    </w:pPr>
    <w:rPr>
      <w:rFonts w:ascii="宋体"/>
      <w:kern w:val="0"/>
      <w:sz w:val="28"/>
    </w:rPr>
  </w:style>
  <w:style w:type="paragraph" w:styleId="9">
    <w:name w:val="toc 5"/>
    <w:basedOn w:val="1"/>
    <w:next w:val="1"/>
    <w:qFormat/>
    <w:uiPriority w:val="0"/>
    <w:pPr>
      <w:ind w:left="1680" w:leftChars="800"/>
    </w:pPr>
  </w:style>
  <w:style w:type="paragraph" w:styleId="10">
    <w:name w:val="toc 3"/>
    <w:basedOn w:val="1"/>
    <w:next w:val="1"/>
    <w:qFormat/>
    <w:uiPriority w:val="0"/>
    <w:pPr>
      <w:ind w:left="840" w:leftChars="400"/>
    </w:pPr>
  </w:style>
  <w:style w:type="paragraph" w:styleId="11">
    <w:name w:val="toc 8"/>
    <w:basedOn w:val="1"/>
    <w:next w:val="1"/>
    <w:qFormat/>
    <w:uiPriority w:val="0"/>
    <w:pPr>
      <w:ind w:left="2940" w:leftChars="14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envelope return"/>
    <w:basedOn w:val="1"/>
    <w:qFormat/>
    <w:uiPriority w:val="99"/>
    <w:pPr>
      <w:snapToGrid w:val="0"/>
    </w:pPr>
    <w:rPr>
      <w:rFonts w:ascii="Arial" w:hAnsi="Arial"/>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4"/>
    <w:basedOn w:val="1"/>
    <w:next w:val="1"/>
    <w:qFormat/>
    <w:uiPriority w:val="0"/>
    <w:pPr>
      <w:ind w:left="1260" w:leftChars="600"/>
    </w:pPr>
  </w:style>
  <w:style w:type="paragraph" w:styleId="17">
    <w:name w:val="toc 6"/>
    <w:basedOn w:val="1"/>
    <w:next w:val="1"/>
    <w:qFormat/>
    <w:uiPriority w:val="0"/>
    <w:pPr>
      <w:ind w:left="2100" w:leftChars="1000"/>
    </w:pPr>
  </w:style>
  <w:style w:type="paragraph" w:styleId="18">
    <w:name w:val="toc 2"/>
    <w:basedOn w:val="1"/>
    <w:next w:val="1"/>
    <w:qFormat/>
    <w:uiPriority w:val="0"/>
    <w:pPr>
      <w:ind w:left="420" w:leftChars="200"/>
    </w:pPr>
  </w:style>
  <w:style w:type="paragraph" w:styleId="19">
    <w:name w:val="toc 9"/>
    <w:basedOn w:val="1"/>
    <w:next w:val="1"/>
    <w:qFormat/>
    <w:uiPriority w:val="0"/>
    <w:pPr>
      <w:ind w:left="3360" w:leftChars="1600"/>
    </w:pPr>
  </w:style>
  <w:style w:type="paragraph" w:styleId="20">
    <w:name w:val="Normal (Web)"/>
    <w:basedOn w:val="1"/>
    <w:qFormat/>
    <w:uiPriority w:val="0"/>
    <w:rPr>
      <w:sz w:val="24"/>
    </w:rPr>
  </w:style>
  <w:style w:type="paragraph" w:styleId="21">
    <w:name w:val="Body Text First Indent"/>
    <w:basedOn w:val="8"/>
    <w:qFormat/>
    <w:uiPriority w:val="99"/>
    <w:pPr>
      <w:spacing w:after="120" w:line="240" w:lineRule="auto"/>
      <w:ind w:firstLine="100" w:firstLineChars="100"/>
    </w:pPr>
    <w:rPr>
      <w:rFonts w:ascii="Times New Roman"/>
      <w:kern w:val="2"/>
      <w:sz w:val="21"/>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qFormat/>
    <w:uiPriority w:val="0"/>
    <w:rPr>
      <w:color w:val="800080"/>
      <w:u w:val="single"/>
    </w:rPr>
  </w:style>
  <w:style w:type="character" w:styleId="26">
    <w:name w:val="Hyperlink"/>
    <w:basedOn w:val="24"/>
    <w:qFormat/>
    <w:uiPriority w:val="0"/>
    <w:rPr>
      <w:color w:val="0000FF"/>
      <w:u w:val="single"/>
    </w:rPr>
  </w:style>
  <w:style w:type="paragraph" w:customStyle="1" w:styleId="27">
    <w:name w:val="正文文字"/>
    <w:basedOn w:val="1"/>
    <w:next w:val="1"/>
    <w:qFormat/>
    <w:uiPriority w:val="0"/>
    <w:pPr>
      <w:spacing w:after="120"/>
    </w:pPr>
  </w:style>
  <w:style w:type="paragraph" w:customStyle="1" w:styleId="28">
    <w:name w:val="正文 A"/>
    <w:qFormat/>
    <w:uiPriority w:val="0"/>
    <w:pPr>
      <w:widowControl w:val="0"/>
      <w:jc w:val="both"/>
    </w:pPr>
    <w:rPr>
      <w:rFonts w:eastAsia="Arial Unicode MS" w:cs="Arial Unicode MS" w:asciiTheme="minorHAnsi" w:hAnsiTheme="minorHAnsi"/>
      <w:color w:val="000000"/>
      <w:kern w:val="2"/>
      <w:sz w:val="21"/>
      <w:szCs w:val="21"/>
      <w:u w:val="none" w:color="000000"/>
      <w:lang w:val="en-US" w:eastAsia="zh-CN" w:bidi="ar-SA"/>
    </w:rPr>
  </w:style>
  <w:style w:type="paragraph" w:customStyle="1" w:styleId="29">
    <w:name w:val="段"/>
    <w:qFormat/>
    <w:uiPriority w:val="2"/>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 w:type="paragraph" w:customStyle="1" w:styleId="30">
    <w:name w:val="_Style 4"/>
    <w:basedOn w:val="2"/>
    <w:qFormat/>
    <w:uiPriority w:val="1"/>
    <w:pPr>
      <w:tabs>
        <w:tab w:val="left" w:pos="949"/>
      </w:tabs>
      <w:spacing w:before="50" w:beforeLines="50" w:after="0" w:line="560" w:lineRule="exact"/>
      <w:ind w:left="0" w:leftChars="0" w:firstLine="200"/>
      <w:outlineLvl w:val="2"/>
    </w:pPr>
    <w:rPr>
      <w:rFonts w:ascii="楷体_GB2312" w:eastAsia="楷体_GB2312"/>
      <w:kern w:val="0"/>
      <w:sz w:val="32"/>
      <w:u w:val="single"/>
    </w:rPr>
  </w:style>
  <w:style w:type="paragraph" w:customStyle="1" w:styleId="31">
    <w:name w:val="二级无"/>
    <w:basedOn w:val="32"/>
    <w:qFormat/>
    <w:uiPriority w:val="1630"/>
    <w:pPr>
      <w:spacing w:before="0" w:beforeLines="0" w:after="0" w:afterLines="0"/>
    </w:pPr>
    <w:rPr>
      <w:rFonts w:ascii="宋体" w:eastAsia="宋体"/>
    </w:rPr>
  </w:style>
  <w:style w:type="paragraph" w:customStyle="1" w:styleId="32">
    <w:name w:val="二级条标题"/>
    <w:basedOn w:val="33"/>
    <w:next w:val="29"/>
    <w:qFormat/>
    <w:uiPriority w:val="1654"/>
    <w:pPr>
      <w:numPr>
        <w:ilvl w:val="2"/>
        <w:numId w:val="1"/>
      </w:numPr>
      <w:spacing w:before="50" w:after="50"/>
      <w:outlineLvl w:val="3"/>
    </w:pPr>
  </w:style>
  <w:style w:type="paragraph" w:customStyle="1" w:styleId="33">
    <w:name w:val="一级条标题"/>
    <w:next w:val="29"/>
    <w:qFormat/>
    <w:uiPriority w:val="1654"/>
    <w:pPr>
      <w:numPr>
        <w:ilvl w:val="1"/>
        <w:numId w:val="1"/>
      </w:numPr>
      <w:spacing w:before="156" w:beforeLines="50" w:after="156" w:afterLines="50"/>
      <w:outlineLvl w:val="2"/>
    </w:pPr>
    <w:rPr>
      <w:rFonts w:ascii="黑体" w:eastAsia="黑体" w:hAnsiTheme="minorHAnsi" w:cstheme="minorBidi"/>
      <w:sz w:val="21"/>
      <w:szCs w:val="21"/>
      <w:lang w:val="en-US" w:eastAsia="zh-CN" w:bidi="ar-SA"/>
    </w:rPr>
  </w:style>
  <w:style w:type="paragraph" w:customStyle="1" w:styleId="34">
    <w:name w:val="List Paragraph"/>
    <w:basedOn w:val="1"/>
    <w:qFormat/>
    <w:uiPriority w:val="34"/>
    <w:pPr>
      <w:ind w:firstLine="420" w:firstLineChars="200"/>
    </w:pPr>
  </w:style>
  <w:style w:type="paragraph" w:customStyle="1" w:styleId="35">
    <w:name w:val="章标题"/>
    <w:next w:val="29"/>
    <w:qFormat/>
    <w:uiPriority w:val="0"/>
    <w:pPr>
      <w:numPr>
        <w:ilvl w:val="0"/>
        <w:numId w:val="1"/>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character" w:customStyle="1" w:styleId="36">
    <w:name w:val="font21"/>
    <w:basedOn w:val="24"/>
    <w:qFormat/>
    <w:uiPriority w:val="0"/>
    <w:rPr>
      <w:rFonts w:hint="eastAsia" w:ascii="方正仿宋_GBK" w:hAnsi="方正仿宋_GBK" w:eastAsia="方正仿宋_GBK" w:cs="方正仿宋_GBK"/>
      <w:color w:val="000000"/>
      <w:sz w:val="24"/>
      <w:szCs w:val="24"/>
      <w:u w:val="none"/>
    </w:rPr>
  </w:style>
  <w:style w:type="character" w:customStyle="1" w:styleId="37">
    <w:name w:val="font11"/>
    <w:basedOn w:val="24"/>
    <w:qFormat/>
    <w:uiPriority w:val="0"/>
    <w:rPr>
      <w:rFonts w:hint="default" w:ascii="Times New Roman" w:hAnsi="Times New Roman" w:cs="Times New Roman"/>
      <w:color w:val="000000"/>
      <w:sz w:val="24"/>
      <w:szCs w:val="24"/>
      <w:u w:val="none"/>
    </w:rPr>
  </w:style>
  <w:style w:type="character" w:customStyle="1" w:styleId="38">
    <w:name w:val="emailstyle17"/>
    <w:basedOn w:val="24"/>
    <w:qFormat/>
    <w:uiPriority w:val="0"/>
    <w:rPr>
      <w:rFonts w:hint="default" w:ascii="Verdana" w:hAnsi="Verdana" w:cs="Verdana"/>
      <w:color w:val="auto"/>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458</Words>
  <Characters>527</Characters>
  <Lines>1</Lines>
  <Paragraphs>1</Paragraphs>
  <TotalTime>5</TotalTime>
  <ScaleCrop>false</ScaleCrop>
  <LinksUpToDate>false</LinksUpToDate>
  <CharactersWithSpaces>618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2020-05-18T01:18:00Z</dcterms:created>
  <dc:creator>bankcomm</dc:creator>
  <cp:lastModifiedBy>嵇琳</cp:lastModifiedBy>
  <cp:lastPrinted>2025-06-25T08:52:36Z</cp:lastPrinted>
  <dcterms:modified xsi:type="dcterms:W3CDTF">2025-06-25T08:54:32Z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98B7DACE3EB34EFE85BA5B9F9C785CB3</vt:lpwstr>
  </property>
  <property fmtid="{D5CDD505-2E9C-101B-9397-08002B2CF9AE}" pid="4" name="KSOTemplateDocerSaveRecord">
    <vt:lpwstr>eyJoZGlkIjoiNTAyMWVmYWY1MDllMTY1NjYxNThmMTBhZWYwMjdmN2MiLCJ1c2VySWQiOiI0NTQ0ODcwNTAifQ==</vt:lpwstr>
  </property>
</Properties>
</file>